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asciiTheme="minorEastAsia" w:hAnsiTheme="minorEastAsia" w:eastAsiaTheme="minorEastAsia"/>
          <w:b/>
          <w:color w:val="auto"/>
          <w:sz w:val="32"/>
          <w:szCs w:val="32"/>
        </w:rPr>
        <w:t>《</w:t>
      </w:r>
      <w:r>
        <w:rPr>
          <w:rFonts w:hint="eastAsia"/>
          <w:b/>
          <w:color w:val="auto"/>
          <w:kern w:val="2"/>
          <w:sz w:val="32"/>
          <w:szCs w:val="32"/>
        </w:rPr>
        <w:t>电子技术基础</w:t>
      </w:r>
      <w:r>
        <w:rPr>
          <w:rFonts w:asciiTheme="minorEastAsia" w:hAnsiTheme="minorEastAsia" w:eastAsiaTheme="minorEastAsia"/>
          <w:b/>
          <w:color w:val="auto"/>
          <w:sz w:val="32"/>
          <w:szCs w:val="32"/>
        </w:rPr>
        <w:t>》教学大纲</w:t>
      </w:r>
    </w:p>
    <w:p>
      <w:pPr>
        <w:rPr>
          <w:rFonts w:ascii="Times New Roman" w:cs="Times New Roman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一、课程基本信息</w:t>
      </w:r>
    </w:p>
    <w:tbl>
      <w:tblPr>
        <w:tblStyle w:val="8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</w:rPr>
              <w:t>专业</w:t>
            </w: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必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必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color w:val="auto"/>
                <w:sz w:val="21"/>
                <w:szCs w:val="21"/>
              </w:rPr>
              <w:t>电子技术基础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Fundamentals of Electronic Technology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color w:val="auto"/>
                <w:sz w:val="21"/>
                <w:szCs w:val="21"/>
              </w:rPr>
              <w:t>H36B045G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智能制造工程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lang w:val="en-US" w:eastAsia="zh-CN"/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Cs w:val="21"/>
                <w:lang w:val="en-US" w:eastAsia="zh-CN"/>
              </w:rPr>
              <w:t>高等数学、大学物理、电工技术基础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auto"/>
                <w:sz w:val="21"/>
                <w:szCs w:val="21"/>
              </w:rPr>
              <w:t>/</w:t>
            </w: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auto"/>
                <w:sz w:val="21"/>
                <w:szCs w:val="21"/>
              </w:rPr>
              <w:t xml:space="preserve">/ </w:t>
            </w: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auto"/>
                <w:sz w:val="21"/>
                <w:szCs w:val="21"/>
              </w:rPr>
              <w:t>/</w:t>
            </w: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eastAsia="宋体" w:cs="PMingLiU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PMingLiU"/>
                <w:color w:val="auto"/>
                <w:sz w:val="21"/>
                <w:szCs w:val="21"/>
              </w:rPr>
              <w:t>实验学时：</w:t>
            </w:r>
            <w:r>
              <w:rPr>
                <w:rFonts w:hint="eastAsia" w:cs="PMingLiU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b/>
                <w:color w:val="auto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</w:rPr>
            </w:pPr>
            <w:r>
              <w:rPr>
                <w:rFonts w:hint="eastAsia" w:cs="PMingLiU"/>
                <w:color w:val="auto"/>
                <w:sz w:val="21"/>
                <w:szCs w:val="21"/>
              </w:rPr>
              <w:t>智能制造学院</w:t>
            </w:r>
          </w:p>
        </w:tc>
      </w:tr>
    </w:tbl>
    <w:p>
      <w:pPr>
        <w:ind w:firstLine="562" w:firstLineChars="200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</w:rPr>
        <w:t>课程简介</w:t>
      </w:r>
    </w:p>
    <w:p>
      <w:pPr>
        <w:snapToGrid w:val="0"/>
        <w:spacing w:line="360" w:lineRule="auto"/>
        <w:ind w:firstLine="42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《</w:t>
      </w:r>
      <w:r>
        <w:rPr>
          <w:rFonts w:hint="eastAsia"/>
          <w:color w:val="auto"/>
          <w:sz w:val="21"/>
          <w:szCs w:val="21"/>
        </w:rPr>
        <w:t>电子技术基础</w:t>
      </w:r>
      <w:r>
        <w:rPr>
          <w:color w:val="auto"/>
          <w:sz w:val="21"/>
          <w:szCs w:val="21"/>
        </w:rPr>
        <w:t>》</w:t>
      </w:r>
      <w:r>
        <w:rPr>
          <w:rFonts w:hint="eastAsia"/>
          <w:color w:val="auto"/>
          <w:sz w:val="21"/>
          <w:szCs w:val="21"/>
        </w:rPr>
        <w:t>是智能制造工程专业的一门专业技术基础课。在本专业学习中具有十分重要的地位。通过本课程的学习，使学生能够了解电子技术的基本理论，掌握模拟电路和数字电路的分析与设计方法；同时要求掌握基本的实验方法和操作技能以及常用电子仪表（器）的使用。为以后深入学习电子技术某些领域中的内容，以及为电子技术在专业中的应用打好基础。</w:t>
      </w:r>
    </w:p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三、课程教学目标</w:t>
      </w:r>
    </w:p>
    <w:tbl>
      <w:tblPr>
        <w:tblStyle w:val="7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目标</w:t>
            </w:r>
            <w:r>
              <w:rPr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了解电子技术的发展历程，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电子元器件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、放大电路、集成运算、电源、滤波等低频单元电路的结构、工作原理、主要性能指标及分析计算方法。掌握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常用电子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仪器仪表的使用方法。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1.2能够应用基础科学原理和专业知识，对智能制造系统复杂工程问题进行条件假设、模型构建和知识表达。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目标2：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使学生能够应用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所学电子技术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</w:rPr>
              <w:t>专业知识</w:t>
            </w:r>
            <w:r>
              <w:rPr>
                <w:rFonts w:hint="eastAsia" w:cs="宋体"/>
                <w:bCs w:val="0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低频仪器仪表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正确选用电子元器件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分析一般电子电路原理</w:t>
            </w:r>
            <w:r>
              <w:rPr>
                <w:rFonts w:hint="eastAsia" w:cs="宋体"/>
                <w:b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</w:rPr>
              <w:t>具有对一般</w:t>
            </w:r>
            <w:r>
              <w:rPr>
                <w:rFonts w:hint="eastAsia" w:cs="宋体"/>
                <w:bCs w:val="0"/>
                <w:color w:val="auto"/>
                <w:sz w:val="21"/>
                <w:szCs w:val="21"/>
                <w:lang w:val="en-US" w:eastAsia="zh-CN"/>
              </w:rPr>
              <w:t>智能控制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</w:rPr>
              <w:t>进行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设计、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</w:rPr>
              <w:t>安装、调试、维护的工程实践能力</w:t>
            </w:r>
            <w:r>
              <w:rPr>
                <w:rFonts w:hint="eastAsia" w:cs="宋体"/>
                <w:bCs w:val="0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 w:cs="仿宋" w:asciiTheme="minorEastAsia" w:hAnsiTheme="minorEastAsia"/>
                <w:bCs/>
                <w:color w:val="000000" w:themeColor="text1"/>
                <w:szCs w:val="21"/>
              </w:rPr>
              <w:t>4.2根据解决智能制造系统复杂工程问题需要，设计并进行实验，记录实验过程及结果，并能够正确使用、分析和解释实验数据，并通过信息综合得到有效结论。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4.研究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素质目标</w:t>
            </w:r>
          </w:p>
        </w:tc>
        <w:tc>
          <w:tcPr>
            <w:tcW w:w="3827" w:type="dxa"/>
            <w:vAlign w:val="center"/>
          </w:tcPr>
          <w:p>
            <w:pPr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目标3：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color w:val="auto"/>
                <w:sz w:val="21"/>
                <w:szCs w:val="21"/>
              </w:rPr>
              <w:t>培养积极主动与严谨求实的学习态度、精益求精的思想意识。</w:t>
            </w:r>
            <w:r>
              <w:rPr>
                <w:rFonts w:hint="eastAsia" w:hAnsi="宋体" w:eastAsia="宋体" w:cs="宋体"/>
                <w:bCs w:val="0"/>
                <w:color w:val="auto"/>
                <w:sz w:val="21"/>
                <w:szCs w:val="21"/>
                <w:lang w:val="en-US" w:eastAsia="zh-CN"/>
              </w:rPr>
              <w:t>在掌握电子技术知识基础上，具有进一步研究、学习本专业知识能力</w:t>
            </w:r>
            <w:r>
              <w:rPr>
                <w:rFonts w:hint="eastAsia" w:cs="宋体"/>
                <w:bCs w:val="0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理解作为一名工程技术人员开展终身学习的重要性。</w:t>
            </w:r>
          </w:p>
          <w:p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6.1具有家国情怀、正确的人生观与价值观、社会责任感和良好的人文素养。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6.工程与社会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（一）理论教学</w:t>
      </w:r>
    </w:p>
    <w:tbl>
      <w:tblPr>
        <w:tblStyle w:val="7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76"/>
        <w:gridCol w:w="4252"/>
        <w:gridCol w:w="1781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教学模块 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学时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主要教学内容与策略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学习任务安排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半导体基础与晶体管直流电路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常用半导体器件的外特性及其主要参数、晶体管直流电路的分析方法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/>
                <w:color w:val="auto"/>
                <w:sz w:val="21"/>
                <w:szCs w:val="21"/>
              </w:rPr>
              <w:t>PN 结的单向导电性、二极管电路的分析、三极管和场效应管的工作原理和特性曲线。</w:t>
            </w:r>
          </w:p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思政元素：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列举我国半导体发展与欧美等国家的差距和不足，激发学生创建国有自主品牌的热情和创造力。</w:t>
            </w:r>
          </w:p>
          <w:p>
            <w:pPr>
              <w:adjustRightInd w:val="0"/>
              <w:jc w:val="both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auto"/>
                <w:sz w:val="21"/>
                <w:szCs w:val="21"/>
              </w:rPr>
              <w:t>课堂讲解、启发问答、讨论</w:t>
            </w:r>
            <w:r>
              <w:rPr>
                <w:color w:val="auto"/>
                <w:sz w:val="21"/>
                <w:szCs w:val="21"/>
              </w:rPr>
              <w:t>。</w:t>
            </w:r>
            <w:r>
              <w:rPr>
                <w:rFonts w:hint="eastAsia"/>
                <w:color w:val="auto"/>
                <w:sz w:val="21"/>
                <w:szCs w:val="21"/>
              </w:rPr>
              <w:t>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课前：</w:t>
            </w:r>
            <w:r>
              <w:rPr>
                <w:rFonts w:hint="eastAsia"/>
                <w:color w:val="auto"/>
                <w:sz w:val="21"/>
                <w:szCs w:val="21"/>
              </w:rPr>
              <w:t>预习常用半导体器件等内容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ind w:left="119" w:right="97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课堂：思考做好笔记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课后：复习涵盖内容知识点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晶体管放大电路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基本放大电路的组成和工作原理；放大电路小信号模型分析法；差分放大电路和 OCL 功率放大电路的工作原理。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基本放大电路和功率放大电路的图解分析法、差分放大电路的工作原理。</w:t>
            </w:r>
          </w:p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教学方法与策略：</w:t>
            </w:r>
            <w:r>
              <w:rPr>
                <w:color w:val="auto"/>
                <w:sz w:val="21"/>
                <w:szCs w:val="21"/>
              </w:rPr>
              <w:t>结合多媒体教学、辅助以适当的传统板书，增强课堂教学吸引力，提升课堂教学效果。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课前：预习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基本放大电路</w:t>
            </w:r>
          </w:p>
          <w:p>
            <w:pPr>
              <w:adjustRightInd w:val="0"/>
              <w:ind w:left="119" w:right="97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课堂：思考做好笔记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课后：复习涵盖内容知识点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集成运算放大电路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集成运放的理性化模型，理想集成运放的特点；负反馈组态的判断；集成运放应用电路的分析方法。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反馈极性及组态的判别，反馈的方框图分析，深度负反馈放大电路的分析计算。</w:t>
            </w:r>
          </w:p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思政元素：</w:t>
            </w:r>
            <w:r>
              <w:rPr>
                <w:rFonts w:hint="eastAsia"/>
                <w:color w:val="auto"/>
                <w:sz w:val="21"/>
                <w:szCs w:val="21"/>
              </w:rPr>
              <w:t>向学生强调“精益求精”“孜孜以求”“一丝不苟”的大国工匠精神。</w:t>
            </w:r>
          </w:p>
          <w:p>
            <w:pPr>
              <w:adjustRightInd w:val="0"/>
              <w:rPr>
                <w:rFonts w:eastAsia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auto"/>
                <w:sz w:val="21"/>
                <w:szCs w:val="21"/>
              </w:rPr>
              <w:t>课堂讲解、启发问答、讨论</w:t>
            </w:r>
            <w:r>
              <w:rPr>
                <w:color w:val="auto"/>
                <w:sz w:val="21"/>
                <w:szCs w:val="21"/>
              </w:rPr>
              <w:t>，增强课堂教学吸引力，提升课堂教学效果。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课前：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宋体"/>
                <w:lang w:eastAsia="zh-CN"/>
              </w:rPr>
              <w:t>集成运放</w:t>
            </w:r>
          </w:p>
          <w:p>
            <w:pPr>
              <w:adjustRightInd w:val="0"/>
              <w:ind w:left="119" w:right="97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课堂：思考做好笔记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课后：复习涵盖内容知识点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完成课后作业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组合逻辑电路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 w:ascii="宋体" w:hAnsi="宋体" w:eastAsia="宋体" w:cs="宋体"/>
                <w:lang w:eastAsia="zh-CN"/>
              </w:rPr>
              <w:t>数值和符号编码表示法，逻辑函数描述方法；组合逻辑电路的分析和设计；加法器、译码器和选择器的功能与应用。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逻辑函数的约束条件；集成逻辑门的性能指标；逻辑函数卡诺图化简法；常用功能器件实现逻辑函数的方法。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思政元素：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从分析和设计电路的方法、步骤和流程中，引导学生正确看待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整体与部分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的关系。案例讲述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家与国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个人与集体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个人与团队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的关系，培养学生梳理全局观念。</w:t>
            </w:r>
          </w:p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教学方法与策略：</w:t>
            </w:r>
            <w:r>
              <w:rPr>
                <w:color w:val="auto"/>
                <w:sz w:val="21"/>
                <w:szCs w:val="21"/>
              </w:rPr>
              <w:t>在线下教学过程中采用电子教案、经典案例，结合多媒体教学</w:t>
            </w:r>
            <w:r>
              <w:rPr>
                <w:rFonts w:hint="eastAsia"/>
                <w:color w:val="auto"/>
                <w:sz w:val="21"/>
                <w:szCs w:val="21"/>
              </w:rPr>
              <w:t>，</w:t>
            </w:r>
            <w:r>
              <w:rPr>
                <w:color w:val="auto"/>
                <w:sz w:val="21"/>
                <w:szCs w:val="21"/>
              </w:rPr>
              <w:t>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color w:val="auto"/>
                <w:sz w:val="21"/>
                <w:szCs w:val="21"/>
              </w:rPr>
              <w:t>课前：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宋体"/>
                <w:lang w:eastAsia="zh-CN"/>
              </w:rPr>
              <w:t>数值和符号编码表示法</w:t>
            </w:r>
          </w:p>
          <w:p>
            <w:pPr>
              <w:adjustRightInd w:val="0"/>
              <w:ind w:left="119" w:right="97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课堂：思考做好笔记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课后：复习涵盖内容知识点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完成课后作业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时序逻辑电路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 w:ascii="宋体" w:hAnsi="宋体" w:eastAsia="宋体" w:cs="宋体"/>
              </w:rPr>
              <w:t>集成触发器的特性，同步时序电路分析；MSI 计数器和移位寄存器的功能、使用方法和基本应用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 w:ascii="宋体" w:hAnsi="宋体" w:eastAsia="宋体" w:cs="宋体"/>
              </w:rPr>
              <w:t>触发器的存储原理；计数器的变模方法；MSI 计数器和移位寄存器的基本应用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  <w:p>
            <w:pPr>
              <w:spacing w:line="240" w:lineRule="auto"/>
              <w:jc w:val="both"/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培养学生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规则意识：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数字设计具有相应的逻辑顺序、研究步骤与设计规则。由此引入规则意识，它是发自内心的、以规则作为自己行动准绳的意识。比如遵守校规、遵守法律、遵守社会公德、遵守游戏规则的意识。</w:t>
            </w:r>
          </w:p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auto"/>
                <w:sz w:val="21"/>
                <w:szCs w:val="21"/>
              </w:rPr>
              <w:t>课堂讲解、启发问答、讨论</w:t>
            </w:r>
            <w:r>
              <w:rPr>
                <w:color w:val="auto"/>
                <w:sz w:val="21"/>
                <w:szCs w:val="21"/>
              </w:rPr>
              <w:t>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课前：</w:t>
            </w:r>
            <w:r>
              <w:rPr>
                <w:rFonts w:hint="eastAsia"/>
                <w:color w:val="auto"/>
                <w:sz w:val="21"/>
                <w:szCs w:val="21"/>
              </w:rPr>
              <w:t>复习以前知识点</w:t>
            </w:r>
          </w:p>
          <w:p>
            <w:pPr>
              <w:adjustRightInd w:val="0"/>
              <w:ind w:left="119" w:right="97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课堂：思考做好笔记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pacing w:before="1"/>
              <w:ind w:left="130" w:right="97"/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课后：复习涵盖内容知识点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完成课后作业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半导体存储器与可编程逻辑器件</w:t>
            </w:r>
          </w:p>
        </w:tc>
        <w:tc>
          <w:tcPr>
            <w:tcW w:w="676" w:type="dxa"/>
            <w:vAlign w:val="center"/>
          </w:tcPr>
          <w:p>
            <w:pPr>
              <w:adjustRightInd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 w:ascii="宋体" w:hAnsi="宋体" w:eastAsia="宋体" w:cs="宋体"/>
                <w:lang w:eastAsia="zh-CN"/>
              </w:rPr>
              <w:t>简单PLD 的结构，用SPLD实现逻辑电路的阵列图表示法。</w:t>
            </w:r>
          </w:p>
          <w:p>
            <w:pPr>
              <w:adjustRightInd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存储器芯片的使用（扩展）方法。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思政元素：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培养学生了解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个体与整体的关系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培养科学思维，提高创新意识，引导学生建立严谨的科学态度和一丝不苟的钻研精神。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教学方法与策略：</w:t>
            </w:r>
            <w:r>
              <w:rPr>
                <w:rFonts w:hint="eastAsia"/>
                <w:color w:val="auto"/>
                <w:sz w:val="21"/>
                <w:szCs w:val="21"/>
              </w:rPr>
              <w:t>课堂讲解、启发问答、讨论</w:t>
            </w:r>
            <w:r>
              <w:rPr>
                <w:color w:val="auto"/>
                <w:sz w:val="21"/>
                <w:szCs w:val="21"/>
              </w:rPr>
              <w:t>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课前：</w:t>
            </w:r>
            <w:r>
              <w:rPr>
                <w:rFonts w:hint="eastAsia"/>
                <w:color w:val="auto"/>
                <w:sz w:val="21"/>
                <w:szCs w:val="21"/>
              </w:rPr>
              <w:t>复习以前知识点</w:t>
            </w:r>
          </w:p>
          <w:p>
            <w:pPr>
              <w:adjustRightInd w:val="0"/>
              <w:ind w:left="119" w:right="97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课堂：思考做好笔记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pacing w:before="1"/>
              <w:ind w:left="130" w:right="97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课后：复习涵盖内容知识点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完成课后作业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模数转换</w:t>
            </w:r>
          </w:p>
          <w:p>
            <w:pPr>
              <w:adjustRightInd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676" w:type="dxa"/>
            <w:vAlign w:val="center"/>
          </w:tcPr>
          <w:p>
            <w:pPr>
              <w:adjustRightInd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40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 w:ascii="宋体" w:hAnsi="宋体" w:eastAsia="宋体" w:cs="宋体"/>
                <w:lang w:eastAsia="zh-CN"/>
              </w:rPr>
              <w:t>D/A、A/D转换的基本原理。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 w:ascii="宋体" w:hAnsi="宋体" w:eastAsia="宋体" w:cs="宋体"/>
              </w:rPr>
              <w:t>DAC、ADC 芯片的主要性能指标。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教学方法与策略：</w:t>
            </w:r>
            <w:r>
              <w:rPr>
                <w:color w:val="auto"/>
                <w:sz w:val="21"/>
                <w:szCs w:val="21"/>
              </w:rPr>
              <w:t>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课前：</w:t>
            </w:r>
            <w:r>
              <w:rPr>
                <w:rFonts w:hint="eastAsia"/>
                <w:color w:val="auto"/>
                <w:sz w:val="21"/>
                <w:szCs w:val="21"/>
              </w:rPr>
              <w:t>复习以前知识点</w:t>
            </w:r>
          </w:p>
          <w:p>
            <w:pPr>
              <w:adjustRightInd w:val="0"/>
              <w:ind w:left="119" w:right="97"/>
              <w:jc w:val="both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课堂：思考做好笔记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pacing w:before="1"/>
              <w:ind w:left="130" w:right="97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课后：复习知识点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（二）实践教学</w:t>
      </w:r>
    </w:p>
    <w:tbl>
      <w:tblPr>
        <w:tblStyle w:val="7"/>
        <w:tblW w:w="86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83"/>
        <w:gridCol w:w="431"/>
        <w:gridCol w:w="3460"/>
        <w:gridCol w:w="834"/>
        <w:gridCol w:w="1354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学时</w:t>
            </w:r>
          </w:p>
        </w:tc>
        <w:tc>
          <w:tcPr>
            <w:tcW w:w="346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主要教学内容</w:t>
            </w: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类型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常用电子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仪器的使</w:t>
            </w:r>
          </w:p>
          <w:p>
            <w:pPr>
              <w:adjustRightInd w:val="0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431" w:type="dxa"/>
            <w:vAlign w:val="center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4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重点：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常用的电子仪器—示波器、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函数信号发生器、直流稳压电源、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交流毫伏表、频率计等的使用方法。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难点：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掌握用双踪示波器观察正弦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信号波形和读取波形参数的方法。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思政元素：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要求学生具有认真、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严谨、细致的科学态度及团队合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作精神。 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验证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ind w:left="118" w:right="18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实验2人一组，完成实验报告。实</w:t>
            </w:r>
          </w:p>
          <w:p>
            <w:pPr>
              <w:adjustRightInd w:val="0"/>
              <w:ind w:left="118" w:right="18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晶体管共</w:t>
            </w:r>
          </w:p>
          <w:p>
            <w:pPr>
              <w:adjustRightInd w:val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射极单管</w:t>
            </w:r>
          </w:p>
          <w:p>
            <w:pPr>
              <w:adjustRightInd w:val="0"/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放大器</w:t>
            </w:r>
          </w:p>
        </w:tc>
        <w:tc>
          <w:tcPr>
            <w:tcW w:w="431" w:type="dxa"/>
            <w:vAlign w:val="center"/>
          </w:tcPr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34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重点：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共射极单管放大器静态工作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点的调试方法，分析静态工作点对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放大器性能的影响，动态参数的测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难点：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共射极单管放大器电压放大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倍数、输入电阻、输出电阻及最大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不失真输出电压的测试方法。 </w:t>
            </w:r>
          </w:p>
        </w:tc>
        <w:tc>
          <w:tcPr>
            <w:tcW w:w="834" w:type="dxa"/>
            <w:vAlign w:val="center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验证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ind w:left="118" w:right="18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实验2人一组，完成实验报告。实</w:t>
            </w:r>
          </w:p>
          <w:p>
            <w:pPr>
              <w:adjustRightInd w:val="0"/>
              <w:ind w:left="118" w:right="18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spacing w:line="240" w:lineRule="auto"/>
              <w:ind w:firstLine="1671" w:firstLineChars="796"/>
              <w:jc w:val="both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集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集成运算放大器的基本应用</w:t>
            </w:r>
          </w:p>
          <w:p>
            <w:pPr>
              <w:adjustRightInd w:val="0"/>
              <w:spacing w:line="240" w:lineRule="auto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　  　　　</w:t>
            </w:r>
          </w:p>
        </w:tc>
        <w:tc>
          <w:tcPr>
            <w:tcW w:w="431" w:type="dxa"/>
            <w:vAlign w:val="center"/>
          </w:tcPr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4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重点：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由集成运算放大器组成的比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例、加法、减法和积分等基本运算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电路的工作原理及分析方法。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难点：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集成运算放大器输入与输出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之间的函数关系。</w:t>
            </w:r>
          </w:p>
        </w:tc>
        <w:tc>
          <w:tcPr>
            <w:tcW w:w="834" w:type="dxa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验证、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设计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ind w:left="118" w:right="18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实验2人一组，完成实验报告。实</w:t>
            </w:r>
          </w:p>
          <w:p>
            <w:pPr>
              <w:adjustRightInd w:val="0"/>
              <w:ind w:left="118" w:right="18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ind w:firstLine="1671" w:firstLineChars="796"/>
              <w:jc w:val="both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综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基本逻辑门测试</w:t>
            </w:r>
          </w:p>
        </w:tc>
        <w:tc>
          <w:tcPr>
            <w:tcW w:w="431" w:type="dxa"/>
            <w:vAlign w:val="center"/>
          </w:tcPr>
          <w:p>
            <w:pPr>
              <w:adjustRightInd w:val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460" w:type="dxa"/>
          </w:tcPr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与门、或门、与非门、或非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门、非门、异或门测试。</w:t>
            </w:r>
          </w:p>
          <w:p>
            <w:pPr>
              <w:adjustRightInd w:val="0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基本电路的连接和测试。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通过实验课程的操作和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练习，让学生明白理论和实践的相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互作用和相互影响，明白“实践是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检验真理的唯一标准”这一哲学道</w:t>
            </w:r>
          </w:p>
          <w:p>
            <w:pPr>
              <w:adjustRightInd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理。</w:t>
            </w:r>
          </w:p>
        </w:tc>
        <w:tc>
          <w:tcPr>
            <w:tcW w:w="834" w:type="dxa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验证</w:t>
            </w:r>
          </w:p>
        </w:tc>
        <w:tc>
          <w:tcPr>
            <w:tcW w:w="1354" w:type="dxa"/>
            <w:vAlign w:val="center"/>
          </w:tcPr>
          <w:p>
            <w:pPr>
              <w:adjustRightInd w:val="0"/>
              <w:ind w:left="118" w:right="18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实验2人一组，完成实验报告。实</w:t>
            </w:r>
          </w:p>
          <w:p>
            <w:pPr>
              <w:adjustRightInd w:val="0"/>
              <w:ind w:left="118" w:right="18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</w:p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MSI组合逻辑电路的分析和设计</w:t>
            </w:r>
          </w:p>
        </w:tc>
        <w:tc>
          <w:tcPr>
            <w:tcW w:w="431" w:type="dxa"/>
            <w:vAlign w:val="center"/>
          </w:tcPr>
          <w:p>
            <w:pPr>
              <w:adjustRightInd w:val="0"/>
              <w:jc w:val="both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0" w:type="dxa"/>
          </w:tcPr>
          <w:p>
            <w:pPr>
              <w:adjustRightInd w:val="0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一位二进制比较器设计、交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通灯电路分析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一位二进制比较器设计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从诚信的角度，要求我</w:t>
            </w:r>
          </w:p>
          <w:p>
            <w:pPr>
              <w:adjustRightInd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们做一个遵纪守法，讲诚信的人。</w:t>
            </w:r>
          </w:p>
        </w:tc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验证、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ind w:left="118" w:right="18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实验2人一组，完成实验报告。实</w:t>
            </w:r>
          </w:p>
          <w:p>
            <w:pPr>
              <w:adjustRightInd w:val="0"/>
              <w:ind w:left="118" w:right="18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JK触发器</w:t>
            </w:r>
          </w:p>
        </w:tc>
        <w:tc>
          <w:tcPr>
            <w:tcW w:w="431" w:type="dxa"/>
            <w:vAlign w:val="center"/>
          </w:tcPr>
          <w:p>
            <w:pPr>
              <w:adjustRightInd w:val="0"/>
              <w:jc w:val="both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0" w:type="dxa"/>
          </w:tcPr>
          <w:p>
            <w:pPr>
              <w:adjustRightInd w:val="0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重点：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测试 JK 触发器、JK 触发器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转 D 触发器</w:t>
            </w:r>
          </w:p>
          <w:p>
            <w:pPr>
              <w:adjustRightInd w:val="0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二分频、四分频电路实现</w:t>
            </w:r>
          </w:p>
          <w:p>
            <w:pPr>
              <w:adjustRightInd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事物间相互转化及转化</w:t>
            </w:r>
          </w:p>
          <w:p>
            <w:pPr>
              <w:adjustRightInd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条件等辩证唯物主义观点。</w:t>
            </w:r>
          </w:p>
        </w:tc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验证、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ind w:left="118" w:right="18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实验2人一组，完成实验报告。实</w:t>
            </w:r>
          </w:p>
          <w:p>
            <w:pPr>
              <w:adjustRightInd w:val="0"/>
              <w:ind w:left="118" w:right="18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>
            <w:pPr>
              <w:adjustRightInd w:val="0"/>
              <w:ind w:firstLine="1671" w:firstLineChars="796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J计数器设计</w:t>
            </w:r>
          </w:p>
        </w:tc>
        <w:tc>
          <w:tcPr>
            <w:tcW w:w="431" w:type="dxa"/>
            <w:vAlign w:val="center"/>
          </w:tcPr>
          <w:p>
            <w:pPr>
              <w:adjustRightInd w:val="0"/>
              <w:jc w:val="both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重点：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161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实验任意进制计数器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难点：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以内计数器的实现（计数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器级联）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思政元素：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做学问，不可能一蹴而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就，必须循序渐进，经过长期的探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索和追求，才能有所成就；必须具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有坚韧不拔，百折不挠的精神，甚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至需要一种为事业献身的精神。 </w:t>
            </w:r>
          </w:p>
          <w:p>
            <w:pPr>
              <w:adjustRightInd w:val="0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设计</w:t>
            </w:r>
          </w:p>
          <w:p>
            <w:pPr>
              <w:adjustRightIn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adjustRightInd w:val="0"/>
              <w:ind w:left="118" w:right="183"/>
              <w:jc w:val="both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实验2人一组，完成实验报告。实</w:t>
            </w:r>
          </w:p>
          <w:p>
            <w:pPr>
              <w:adjustRightInd w:val="0"/>
              <w:ind w:left="118" w:right="183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验报告须有详细的实验记录。</w:t>
            </w:r>
          </w:p>
        </w:tc>
        <w:tc>
          <w:tcPr>
            <w:tcW w:w="895" w:type="dxa"/>
            <w:vAlign w:val="center"/>
          </w:tcPr>
          <w:p>
            <w:pPr>
              <w:adjustRightInd w:val="0"/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</w:t>
            </w:r>
          </w:p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目标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0" w:type="dxa"/>
            <w:textDirection w:val="tbRlV"/>
          </w:tcPr>
          <w:p>
            <w:pPr>
              <w:adjustRightInd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adjustRightInd w:val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备注：项目类型填写验证、综合、设计、训练等。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五、学生学习成效评估方式及标准</w:t>
      </w:r>
    </w:p>
    <w:p>
      <w:pPr>
        <w:snapToGrid w:val="0"/>
        <w:spacing w:line="360" w:lineRule="auto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>
        <w:rPr>
          <w:color w:val="auto"/>
          <w:sz w:val="21"/>
          <w:szCs w:val="21"/>
        </w:rPr>
        <w:t>平时成绩</w:t>
      </w:r>
      <w:r>
        <w:rPr>
          <w:rFonts w:hint="eastAsia"/>
          <w:color w:val="auto"/>
          <w:sz w:val="21"/>
          <w:szCs w:val="21"/>
        </w:rPr>
        <w:t>、</w:t>
      </w:r>
      <w:r>
        <w:rPr>
          <w:color w:val="auto"/>
          <w:sz w:val="21"/>
          <w:szCs w:val="21"/>
        </w:rPr>
        <w:t>实验</w:t>
      </w:r>
      <w:r>
        <w:rPr>
          <w:rFonts w:hint="eastAsia"/>
          <w:color w:val="auto"/>
          <w:sz w:val="21"/>
          <w:szCs w:val="21"/>
        </w:rPr>
        <w:t>成绩、</w:t>
      </w:r>
      <w:r>
        <w:rPr>
          <w:color w:val="auto"/>
          <w:sz w:val="21"/>
          <w:szCs w:val="21"/>
        </w:rPr>
        <w:t>期末成绩</w:t>
      </w:r>
      <w:r>
        <w:rPr>
          <w:rFonts w:hint="eastAsia"/>
          <w:color w:val="auto"/>
          <w:sz w:val="21"/>
          <w:szCs w:val="21"/>
        </w:rPr>
        <w:t>3个部分组成。</w:t>
      </w:r>
    </w:p>
    <w:p>
      <w:pPr>
        <w:snapToGrid w:val="0"/>
        <w:spacing w:line="360" w:lineRule="auto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1. 平时成绩（占总成绩的20%）：采用百分制。平时成绩分作业（占10%）和考勤（占10%）两个部分。评分标准如下表：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6944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auto"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944" w:type="dxa"/>
            <w:vAlign w:val="center"/>
          </w:tcPr>
          <w:p>
            <w:pPr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作业；</w:t>
            </w:r>
            <w:r>
              <w:rPr>
                <w:rFonts w:hint="eastAsia" w:ascii="Times New Roman" w:cs="Times New Roman"/>
                <w:b/>
                <w:color w:val="auto"/>
                <w:sz w:val="21"/>
                <w:szCs w:val="21"/>
              </w:rPr>
              <w:t>2.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29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优秀</w:t>
            </w:r>
          </w:p>
          <w:p>
            <w:pPr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>
            <w:pPr>
              <w:spacing w:before="45" w:line="280" w:lineRule="exact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1．作业书写工整、书面整洁；90％以上的习题解答正确。</w:t>
            </w:r>
          </w:p>
          <w:p>
            <w:pPr>
              <w:spacing w:before="45" w:line="280" w:lineRule="exact"/>
              <w:ind w:left="333" w:hanging="333" w:hangingChars="150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2．实验报告数据记录全面，90%以上的数据准确，实验内容和步骤详细，</w:t>
            </w: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结论正确无误。</w:t>
            </w:r>
          </w:p>
          <w:p>
            <w:pPr>
              <w:spacing w:before="45" w:line="280" w:lineRule="exact"/>
              <w:ind w:left="404" w:hanging="404" w:hangingChars="18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3．考勤无迟到、缺勤。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良好</w:t>
            </w:r>
          </w:p>
          <w:p>
            <w:pPr>
              <w:spacing w:line="329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>
            <w:pPr>
              <w:spacing w:before="45" w:line="280" w:lineRule="exact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1．作业书写工整、书面整洁；80％以上的习题解答正确。</w:t>
            </w:r>
          </w:p>
          <w:p>
            <w:pPr>
              <w:spacing w:before="45" w:line="280" w:lineRule="exact"/>
              <w:ind w:left="333" w:hanging="333" w:hangingChars="150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2．实验报告数据记录全面，80%以上的数据准确，实验内容和步骤较详</w:t>
            </w: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细，结论较正确。</w:t>
            </w:r>
          </w:p>
          <w:p>
            <w:pPr>
              <w:spacing w:line="280" w:lineRule="exact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3．迟到、缺勤占考勤记录的10%。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8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中等</w:t>
            </w:r>
          </w:p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>
            <w:pPr>
              <w:spacing w:before="45" w:line="280" w:lineRule="exact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1．作业书写工整、书面整洁；70％以上的习题解答正确。</w:t>
            </w:r>
          </w:p>
          <w:p>
            <w:pPr>
              <w:spacing w:before="45" w:line="280" w:lineRule="exact"/>
              <w:ind w:left="333" w:hanging="333" w:hangingChars="150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2．实验报告数据记录较全面，70%以上的数据准确，实验内容和步骤较</w:t>
            </w: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详细，结论较正确。</w:t>
            </w:r>
          </w:p>
          <w:p>
            <w:pPr>
              <w:spacing w:before="45" w:line="280" w:lineRule="exact"/>
              <w:ind w:left="404" w:hanging="404" w:hangingChars="18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3． 迟到、缺勤占考勤记录的20%。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及格</w:t>
            </w:r>
          </w:p>
          <w:p>
            <w:pPr>
              <w:spacing w:line="38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>
            <w:pPr>
              <w:spacing w:before="45" w:line="280" w:lineRule="exact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1. 作业书写较工整、书面较整洁；60％以上的习题解答正确。</w:t>
            </w:r>
          </w:p>
          <w:p>
            <w:pPr>
              <w:spacing w:before="45" w:line="280" w:lineRule="exact"/>
              <w:ind w:left="333" w:hanging="333" w:hangingChars="150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2. 有实验报告的数据记录，60%以上的数据准确，有一定实验内容和步</w:t>
            </w: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骤，能给出实验结论。</w:t>
            </w:r>
          </w:p>
          <w:p>
            <w:pPr>
              <w:spacing w:before="45" w:line="280" w:lineRule="exact"/>
              <w:ind w:left="404" w:hanging="404" w:hangingChars="18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3. 迟到、缺勤占考勤记录的30%。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272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不及格</w:t>
            </w:r>
          </w:p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>
            <w:pPr>
              <w:spacing w:before="45" w:line="280" w:lineRule="exact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1．字迹模糊、卷面书写零乱；超过40％的习题解答不正确。</w:t>
            </w:r>
          </w:p>
          <w:p>
            <w:pPr>
              <w:spacing w:before="45" w:line="280" w:lineRule="exact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2．实验报告所记录数据超过40%不准确，缺少实验内容和步骤等。</w:t>
            </w:r>
          </w:p>
          <w:p>
            <w:pPr>
              <w:spacing w:before="45" w:line="280" w:lineRule="exact"/>
              <w:ind w:left="404" w:hanging="404" w:hangingChars="18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3．迟到、缺勤占考勤记录的40%以上。</w:t>
            </w:r>
          </w:p>
        </w:tc>
      </w:tr>
    </w:tbl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2.实验成绩（占总成绩的20%）：采用百分制。评分标准如下表：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6944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auto"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944" w:type="dxa"/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29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优秀</w:t>
            </w:r>
          </w:p>
          <w:p>
            <w:pPr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>
            <w:pPr>
              <w:spacing w:before="45" w:line="240" w:lineRule="auto"/>
              <w:ind w:left="333" w:hanging="333" w:hangingChars="150"/>
              <w:jc w:val="left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实验报告数据记录全面，90%以上的数据准确，实验内容和步骤详细，</w:t>
            </w:r>
          </w:p>
          <w:p>
            <w:pPr>
              <w:spacing w:before="45" w:line="240" w:lineRule="auto"/>
              <w:ind w:left="333" w:hanging="333" w:hangingChars="15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结论正确无误。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良好</w:t>
            </w:r>
          </w:p>
          <w:p>
            <w:pPr>
              <w:spacing w:line="329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>
            <w:pPr>
              <w:spacing w:line="240" w:lineRule="auto"/>
              <w:ind w:left="404" w:hanging="404" w:hangingChars="182"/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实验报告数据记录全面，80%以上的数据准确，实验内容和步骤较详</w:t>
            </w: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细，</w:t>
            </w:r>
          </w:p>
          <w:p>
            <w:pPr>
              <w:spacing w:line="240" w:lineRule="auto"/>
              <w:ind w:left="404" w:hanging="404" w:hangingChars="182"/>
              <w:rPr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结论较正确。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8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中等</w:t>
            </w:r>
          </w:p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>
            <w:pPr>
              <w:spacing w:before="45" w:line="240" w:lineRule="auto"/>
              <w:ind w:left="404" w:hanging="404" w:hangingChars="182"/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实验报告数据记录较全面，70%以上的数据准确，实验内容和步骤较</w:t>
            </w: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详</w:t>
            </w:r>
          </w:p>
          <w:p>
            <w:pPr>
              <w:spacing w:before="45" w:line="240" w:lineRule="auto"/>
              <w:ind w:left="404" w:hanging="404" w:hangingChars="182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细，结论较正确。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及格</w:t>
            </w:r>
          </w:p>
          <w:p>
            <w:pPr>
              <w:spacing w:line="38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>
            <w:pPr>
              <w:spacing w:before="45" w:line="240" w:lineRule="auto"/>
              <w:ind w:left="404" w:hanging="404" w:hangingChars="182"/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有实验报告的数据记录，60%以上的数据准确，有一定实验内容和步</w:t>
            </w: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骤，</w:t>
            </w:r>
          </w:p>
          <w:p>
            <w:pPr>
              <w:spacing w:before="45" w:line="240" w:lineRule="auto"/>
              <w:ind w:left="404" w:hanging="404" w:hangingChars="182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6"/>
                <w:position w:val="5"/>
                <w:sz w:val="21"/>
                <w:szCs w:val="21"/>
              </w:rPr>
              <w:t>能给出实验结论。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272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不及格</w:t>
            </w:r>
          </w:p>
          <w:p>
            <w:pPr>
              <w:spacing w:line="376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>
            <w:pPr>
              <w:spacing w:before="45" w:line="240" w:lineRule="auto"/>
              <w:ind w:left="404" w:hanging="404" w:hangingChars="182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6"/>
                <w:position w:val="5"/>
                <w:sz w:val="21"/>
                <w:szCs w:val="21"/>
              </w:rPr>
              <w:t>实验报告所记录数据超过40%不准确，缺少实验内容和步骤等。</w:t>
            </w:r>
          </w:p>
        </w:tc>
      </w:tr>
    </w:tbl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3.期末考试（占总成绩的60%）采用百分制。期末考查的考核内容和分值分配情况请见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下表： </w:t>
      </w:r>
    </w:p>
    <w:p>
      <w:pPr>
        <w:pStyle w:val="2"/>
      </w:pPr>
    </w:p>
    <w:tbl>
      <w:tblPr>
        <w:tblStyle w:val="7"/>
        <w:tblW w:w="8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964"/>
        <w:gridCol w:w="922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考核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模块</w:t>
            </w:r>
          </w:p>
        </w:tc>
        <w:tc>
          <w:tcPr>
            <w:tcW w:w="4964" w:type="dxa"/>
            <w:vAlign w:val="center"/>
          </w:tcPr>
          <w:p>
            <w:pPr>
              <w:snapToGrid w:val="0"/>
              <w:ind w:left="18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考核内容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半导体基础与晶体管直流电路</w:t>
            </w:r>
          </w:p>
        </w:tc>
        <w:tc>
          <w:tcPr>
            <w:tcW w:w="4964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对电路元件二极管、三极管特性的掌握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填空题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选择题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判断题  </w:t>
            </w:r>
          </w:p>
        </w:tc>
        <w:tc>
          <w:tcPr>
            <w:tcW w:w="798" w:type="dxa"/>
          </w:tcPr>
          <w:p>
            <w:pPr>
              <w:ind w:left="-2" w:leftChars="-3" w:hanging="5" w:hangingChars="3"/>
              <w:jc w:val="center"/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晶体管放大电路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放大电路分析的静态、动态参数分析、计算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填空题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选择题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计算题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798" w:type="dxa"/>
          </w:tcPr>
          <w:p>
            <w:pPr>
              <w:ind w:left="-2" w:leftChars="-3" w:hanging="5" w:hangingChars="3"/>
              <w:jc w:val="center"/>
              <w:rPr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集成运算放大电路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集成多级放大电路内部结构及工作原理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判断交流反馈类型，并计算深度负反馈下的电压放大倍数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运算放大电路输入输出之间的关系</w:t>
            </w:r>
          </w:p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填空题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选择题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判断题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分析题 </w:t>
            </w:r>
          </w:p>
        </w:tc>
        <w:tc>
          <w:tcPr>
            <w:tcW w:w="798" w:type="dxa"/>
          </w:tcPr>
          <w:p>
            <w:pPr>
              <w:ind w:left="-2" w:leftChars="-3" w:hanging="5" w:hangingChars="3"/>
              <w:jc w:val="center"/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</w:pPr>
          </w:p>
          <w:p>
            <w:pPr>
              <w:ind w:left="-2" w:leftChars="-3" w:hanging="5" w:hangingChars="3"/>
              <w:jc w:val="center"/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2</w:t>
            </w:r>
          </w:p>
          <w:p>
            <w:pPr>
              <w:ind w:left="-2" w:leftChars="-3" w:hanging="5" w:hangingChars="3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组合逻辑电路</w:t>
            </w:r>
          </w:p>
        </w:tc>
        <w:tc>
          <w:tcPr>
            <w:tcW w:w="4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逻辑代数的基本概念、门电路的重要技术参数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数制及其转换、逻辑运算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逻辑函数的基本表示形式及其简化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分析组合逻辑电路的功能、组合逻辑电路的设计编码器、显示译码器、加法器的性质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填空题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选择题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判断题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分析题 </w:t>
            </w:r>
          </w:p>
        </w:tc>
        <w:tc>
          <w:tcPr>
            <w:tcW w:w="798" w:type="dxa"/>
          </w:tcPr>
          <w:p>
            <w:pPr>
              <w:ind w:left="-2" w:leftChars="-3" w:hanging="5" w:hangingChars="3"/>
              <w:jc w:val="center"/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</w:pPr>
          </w:p>
          <w:p>
            <w:pPr>
              <w:ind w:left="-2" w:leftChars="-3" w:hanging="5" w:hangingChars="3"/>
              <w:jc w:val="center"/>
              <w:rPr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时序逻辑电路</w:t>
            </w:r>
          </w:p>
        </w:tc>
        <w:tc>
          <w:tcPr>
            <w:tcW w:w="4964" w:type="dxa"/>
            <w:vAlign w:val="center"/>
          </w:tcPr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时序电路的特点、时序逻辑电路的分析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计数器、寄存器的特性、任意进制计数器的设计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填空题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选择题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判断题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分析题 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半导体存储器与可编程逻辑器件</w:t>
            </w:r>
          </w:p>
        </w:tc>
        <w:tc>
          <w:tcPr>
            <w:tcW w:w="4964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半导体存储器的基本概念和存储器芯片的使用（扩展）方法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填空题 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选择题</w:t>
            </w:r>
          </w:p>
        </w:tc>
        <w:tc>
          <w:tcPr>
            <w:tcW w:w="798" w:type="dxa"/>
          </w:tcPr>
          <w:p>
            <w:pPr>
              <w:ind w:left="-2" w:leftChars="-3" w:hanging="5" w:hangingChars="3"/>
              <w:jc w:val="center"/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</w:pPr>
          </w:p>
          <w:p>
            <w:pPr>
              <w:ind w:left="-2" w:leftChars="-3" w:hanging="5" w:hangingChars="3"/>
              <w:jc w:val="center"/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模数转换</w:t>
            </w:r>
          </w:p>
        </w:tc>
        <w:tc>
          <w:tcPr>
            <w:tcW w:w="4964" w:type="dxa"/>
            <w:vAlign w:val="center"/>
          </w:tcPr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数/模（D/A）、模/数（A/D）转换的基本概念和常用转换技术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填空题 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选择题</w:t>
            </w:r>
          </w:p>
        </w:tc>
        <w:tc>
          <w:tcPr>
            <w:tcW w:w="798" w:type="dxa"/>
          </w:tcPr>
          <w:p>
            <w:pPr>
              <w:ind w:left="-2" w:leftChars="-3" w:hanging="5" w:hangingChars="3"/>
              <w:jc w:val="center"/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-10"/>
                <w:sz w:val="21"/>
                <w:szCs w:val="21"/>
              </w:rPr>
              <w:t>目标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pPr>
        <w:pStyle w:val="11"/>
        <w:numPr>
          <w:ilvl w:val="0"/>
          <w:numId w:val="1"/>
        </w:numPr>
        <w:ind w:firstLineChars="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教学安排及要求</w:t>
      </w:r>
    </w:p>
    <w:tbl>
      <w:tblPr>
        <w:tblStyle w:val="8"/>
        <w:tblpPr w:leftFromText="180" w:rightFromText="180" w:vertAnchor="text" w:horzAnchor="margin" w:tblpY="92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auto"/>
                <w:sz w:val="21"/>
                <w:szCs w:val="21"/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spacing w:before="51" w:line="229" w:lineRule="auto"/>
              <w:ind w:firstLine="10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9"/>
                <w:sz w:val="20"/>
                <w:szCs w:val="20"/>
              </w:rPr>
              <w:t>职称</w:t>
            </w:r>
            <w:r>
              <w:rPr>
                <w:color w:val="auto"/>
                <w:spacing w:val="11"/>
                <w:sz w:val="20"/>
                <w:szCs w:val="20"/>
              </w:rPr>
              <w:t>：</w:t>
            </w:r>
            <w:r>
              <w:rPr>
                <w:rFonts w:hint="eastAsia"/>
                <w:color w:val="auto"/>
                <w:spacing w:val="9"/>
                <w:sz w:val="20"/>
                <w:szCs w:val="20"/>
                <w:lang w:val="en-US" w:eastAsia="zh-CN"/>
              </w:rPr>
              <w:t>讲师</w:t>
            </w:r>
            <w:r>
              <w:rPr>
                <w:rFonts w:hint="eastAsia" w:eastAsiaTheme="minorEastAsia"/>
                <w:color w:val="auto"/>
                <w:spacing w:val="9"/>
                <w:sz w:val="20"/>
                <w:szCs w:val="20"/>
              </w:rPr>
              <w:t>，</w:t>
            </w:r>
            <w:r>
              <w:rPr>
                <w:color w:val="auto"/>
                <w:spacing w:val="9"/>
                <w:sz w:val="20"/>
                <w:szCs w:val="20"/>
              </w:rPr>
              <w:t>学</w:t>
            </w:r>
            <w:r>
              <w:rPr>
                <w:color w:val="auto"/>
                <w:spacing w:val="8"/>
                <w:sz w:val="20"/>
                <w:szCs w:val="20"/>
              </w:rPr>
              <w:t>历（位</w:t>
            </w:r>
            <w:r>
              <w:rPr>
                <w:color w:val="auto"/>
                <w:spacing w:val="11"/>
                <w:sz w:val="20"/>
                <w:szCs w:val="20"/>
              </w:rPr>
              <w:t>）：</w:t>
            </w:r>
            <w:r>
              <w:rPr>
                <w:rFonts w:hint="eastAsia" w:asciiTheme="minorEastAsia" w:hAnsiTheme="minorEastAsia" w:eastAsiaTheme="minorEastAsia"/>
                <w:color w:val="auto"/>
                <w:spacing w:val="8"/>
                <w:sz w:val="20"/>
                <w:szCs w:val="20"/>
              </w:rPr>
              <w:t>硕士</w:t>
            </w:r>
            <w:r>
              <w:rPr>
                <w:color w:val="auto"/>
                <w:spacing w:val="8"/>
                <w:sz w:val="20"/>
                <w:szCs w:val="20"/>
              </w:rPr>
              <w:t>研究生以上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color w:val="auto"/>
                <w:spacing w:val="10"/>
                <w:sz w:val="20"/>
                <w:szCs w:val="20"/>
              </w:rPr>
              <w:t>其他</w:t>
            </w:r>
            <w:r>
              <w:rPr>
                <w:color w:val="auto"/>
                <w:spacing w:val="11"/>
                <w:sz w:val="20"/>
                <w:szCs w:val="20"/>
              </w:rPr>
              <w:t>：</w:t>
            </w:r>
            <w:r>
              <w:rPr>
                <w:color w:val="auto"/>
                <w:spacing w:val="10"/>
                <w:sz w:val="20"/>
                <w:szCs w:val="20"/>
              </w:rPr>
              <w:t>具</w:t>
            </w:r>
            <w:r>
              <w:rPr>
                <w:color w:val="auto"/>
                <w:spacing w:val="9"/>
                <w:sz w:val="20"/>
                <w:szCs w:val="20"/>
              </w:rPr>
              <w:t>有硕士研究生及以上学历的高级工程师或讲师</w:t>
            </w:r>
            <w:r>
              <w:rPr>
                <w:color w:val="auto"/>
                <w:spacing w:val="1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</w:rPr>
              <w:t xml:space="preserve">  节次：4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</w:rPr>
              <w:t xml:space="preserve">教室         </w:t>
            </w:r>
            <w:r>
              <w:rPr>
                <w:color w:val="auto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</w:rPr>
              <w:t xml:space="preserve">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snapToGrid w:val="0"/>
              <w:ind w:left="181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spacing w:before="56" w:line="228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pacing w:val="10"/>
                <w:sz w:val="20"/>
                <w:szCs w:val="20"/>
              </w:rPr>
              <w:t>线上方式及时</w:t>
            </w:r>
            <w:r>
              <w:rPr>
                <w:color w:val="auto"/>
                <w:spacing w:val="9"/>
                <w:sz w:val="20"/>
                <w:szCs w:val="20"/>
              </w:rPr>
              <w:t>间安排</w:t>
            </w:r>
            <w:r>
              <w:rPr>
                <w:color w:val="auto"/>
                <w:spacing w:val="10"/>
                <w:sz w:val="20"/>
                <w:szCs w:val="20"/>
              </w:rPr>
              <w:t>：</w:t>
            </w:r>
            <w:r>
              <w:rPr>
                <w:color w:val="auto"/>
                <w:spacing w:val="9"/>
                <w:sz w:val="20"/>
                <w:szCs w:val="20"/>
              </w:rPr>
              <w:t>经与学生沟通另行安排</w:t>
            </w:r>
          </w:p>
          <w:p>
            <w:pPr>
              <w:rPr>
                <w:rFonts w:cs="Times New Roman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color w:val="auto"/>
                <w:spacing w:val="10"/>
                <w:sz w:val="20"/>
                <w:szCs w:val="20"/>
              </w:rPr>
              <w:t>线下地点及时</w:t>
            </w:r>
            <w:r>
              <w:rPr>
                <w:color w:val="auto"/>
                <w:spacing w:val="9"/>
                <w:sz w:val="20"/>
                <w:szCs w:val="20"/>
              </w:rPr>
              <w:t>间安排</w:t>
            </w:r>
            <w:r>
              <w:rPr>
                <w:color w:val="auto"/>
                <w:spacing w:val="10"/>
                <w:sz w:val="20"/>
                <w:szCs w:val="20"/>
              </w:rPr>
              <w:t>：</w:t>
            </w:r>
            <w:r>
              <w:rPr>
                <w:color w:val="auto"/>
                <w:spacing w:val="9"/>
                <w:sz w:val="20"/>
                <w:szCs w:val="20"/>
              </w:rPr>
              <w:t>经与学生沟通另行安排</w:t>
            </w:r>
          </w:p>
        </w:tc>
      </w:tr>
    </w:tbl>
    <w:p>
      <w:pPr>
        <w:spacing w:line="200" w:lineRule="exact"/>
        <w:rPr>
          <w:rFonts w:ascii="Times New Roman" w:cs="Times New Roman"/>
          <w:b/>
          <w:color w:val="auto"/>
          <w:sz w:val="28"/>
          <w:szCs w:val="28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选用教材</w:t>
      </w:r>
    </w:p>
    <w:p>
      <w:pPr>
        <w:numPr>
          <w:ilvl w:val="0"/>
          <w:numId w:val="2"/>
        </w:numPr>
        <w:autoSpaceDE/>
        <w:autoSpaceDN/>
        <w:snapToGrid w:val="0"/>
        <w:spacing w:line="360" w:lineRule="auto"/>
        <w:ind w:left="850" w:leftChars="193" w:hanging="425"/>
        <w:jc w:val="both"/>
        <w:rPr>
          <w:rFonts w:hint="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eastAsiaTheme="minorEastAsia"/>
          <w:color w:val="auto"/>
          <w:sz w:val="21"/>
          <w:szCs w:val="21"/>
          <w:lang w:val="en-US" w:eastAsia="zh-CN"/>
        </w:rPr>
        <w:t>丁伟. 电子技术基础[M].北京：机械工业出版社，2021年1月.</w:t>
      </w:r>
    </w:p>
    <w:p>
      <w:pPr>
        <w:numPr>
          <w:ilvl w:val="0"/>
          <w:numId w:val="2"/>
        </w:numPr>
        <w:autoSpaceDE/>
        <w:autoSpaceDN/>
        <w:snapToGrid w:val="0"/>
        <w:spacing w:line="360" w:lineRule="auto"/>
        <w:ind w:left="850" w:leftChars="193" w:hanging="425"/>
        <w:jc w:val="both"/>
        <w:rPr>
          <w:rFonts w:hint="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eastAsiaTheme="minorEastAsia"/>
          <w:color w:val="auto"/>
          <w:sz w:val="21"/>
          <w:szCs w:val="21"/>
          <w:lang w:val="en-US" w:eastAsia="zh-CN"/>
        </w:rPr>
        <w:t>康华光、张林.电子技术基础 模拟部分（第7版）[M].北京：高等教育出版社，2021年6月.</w:t>
      </w:r>
    </w:p>
    <w:p>
      <w:pPr>
        <w:numPr>
          <w:ilvl w:val="0"/>
          <w:numId w:val="2"/>
        </w:numPr>
        <w:autoSpaceDE/>
        <w:autoSpaceDN/>
        <w:snapToGrid w:val="0"/>
        <w:spacing w:line="360" w:lineRule="auto"/>
        <w:ind w:left="850" w:leftChars="193" w:hanging="425"/>
        <w:jc w:val="both"/>
        <w:rPr>
          <w:rFonts w:hint="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eastAsiaTheme="minorEastAsia"/>
          <w:color w:val="auto"/>
          <w:sz w:val="21"/>
          <w:szCs w:val="21"/>
          <w:lang w:val="en-US" w:eastAsia="zh-CN"/>
        </w:rPr>
        <w:t>康华光、张林.电子技术基础 数字部分（第7版）[M].北京：高等教育出版社，2021年8月.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八、参考资料</w:t>
      </w:r>
    </w:p>
    <w:p>
      <w:pPr>
        <w:numPr>
          <w:ilvl w:val="0"/>
          <w:numId w:val="0"/>
        </w:numPr>
        <w:autoSpaceDE/>
        <w:autoSpaceDN/>
        <w:snapToGrid w:val="0"/>
        <w:spacing w:line="360" w:lineRule="auto"/>
        <w:ind w:leftChars="193"/>
        <w:jc w:val="both"/>
        <w:rPr>
          <w:rFonts w:hint="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eastAsiaTheme="minorEastAsia"/>
          <w:color w:val="auto"/>
          <w:sz w:val="21"/>
          <w:szCs w:val="21"/>
          <w:lang w:val="en-US" w:eastAsia="zh-CN"/>
        </w:rPr>
        <w:t>[1] 庞雅丽.电子技术基础[M].北京：清华大学出版社，2021年11月．</w:t>
      </w:r>
    </w:p>
    <w:p>
      <w:pPr>
        <w:numPr>
          <w:ilvl w:val="0"/>
          <w:numId w:val="0"/>
        </w:numPr>
        <w:autoSpaceDE/>
        <w:autoSpaceDN/>
        <w:snapToGrid w:val="0"/>
        <w:spacing w:line="360" w:lineRule="auto"/>
        <w:ind w:leftChars="193"/>
        <w:jc w:val="both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eastAsiaTheme="minorEastAsia"/>
          <w:color w:val="auto"/>
          <w:sz w:val="21"/>
          <w:szCs w:val="21"/>
          <w:lang w:val="en-US" w:eastAsia="zh-CN"/>
        </w:rPr>
        <w:t>[2] 华成英.模拟电子技术基本教程[M].北京：清华大学出版社，2019年10月.</w:t>
      </w:r>
    </w:p>
    <w:p>
      <w:pPr>
        <w:spacing w:line="360" w:lineRule="auto"/>
        <w:ind w:firstLine="420" w:firstLineChars="200"/>
        <w:rPr>
          <w:rFonts w:hint="default"/>
          <w:bCs/>
          <w:color w:val="auto"/>
          <w:sz w:val="21"/>
          <w:szCs w:val="21"/>
          <w:lang w:val="en-US"/>
        </w:rPr>
      </w:pPr>
      <w:r>
        <w:rPr>
          <w:rFonts w:hint="eastAsia" w:eastAsiaTheme="minorEastAsia"/>
          <w:color w:val="auto"/>
          <w:sz w:val="21"/>
          <w:szCs w:val="21"/>
          <w:lang w:val="en-US" w:eastAsia="zh-CN"/>
        </w:rPr>
        <w:t>[3] 沈任元.数字电子技术基础（第 2 版）[M]. 北京:机械工业出版社，2019年2月.</w:t>
      </w:r>
    </w:p>
    <w:p>
      <w:pPr>
        <w:keepNext w:val="0"/>
        <w:keepLines w:val="0"/>
        <w:widowControl/>
        <w:suppressLineNumbers w:val="0"/>
        <w:ind w:firstLine="282" w:firstLineChars="1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网络资料 </w:t>
      </w:r>
    </w:p>
    <w:p>
      <w:pPr>
        <w:keepNext w:val="0"/>
        <w:keepLines w:val="0"/>
        <w:widowControl/>
        <w:suppressLineNumbers w:val="0"/>
        <w:ind w:firstLine="42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[1] 电子工程网， https://www.eechina.com/analog.php</w:t>
      </w:r>
    </w:p>
    <w:p>
      <w:pPr>
        <w:spacing w:line="360" w:lineRule="auto"/>
        <w:rPr>
          <w:rFonts w:hint="default" w:eastAsia="宋体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Cs/>
          <w:color w:val="auto"/>
          <w:sz w:val="21"/>
          <w:szCs w:val="21"/>
          <w:lang w:val="en-US" w:eastAsia="zh-CN"/>
        </w:rPr>
        <w:t xml:space="preserve">    [2] 学银在线，</w:t>
      </w:r>
      <w:bookmarkStart w:id="0" w:name="_GoBack"/>
      <w:bookmarkEnd w:id="0"/>
      <w:r>
        <w:rPr>
          <w:rFonts w:hint="eastAsia"/>
          <w:bCs/>
          <w:color w:val="auto"/>
          <w:sz w:val="21"/>
          <w:szCs w:val="21"/>
          <w:lang w:val="en-US" w:eastAsia="zh-CN"/>
        </w:rPr>
        <w:t>https://xueyinonline.com/detail/236107650</w:t>
      </w:r>
    </w:p>
    <w:p>
      <w:pPr>
        <w:spacing w:line="360" w:lineRule="auto"/>
        <w:ind w:left="4620" w:firstLine="420"/>
        <w:rPr>
          <w:rFonts w:hint="eastAsia" w:eastAsia="宋体"/>
          <w:bCs/>
          <w:color w:val="auto"/>
          <w:sz w:val="21"/>
          <w:szCs w:val="21"/>
          <w:lang w:eastAsia="zh-CN"/>
        </w:rPr>
      </w:pPr>
      <w:r>
        <w:rPr>
          <w:rFonts w:hint="eastAsia"/>
          <w:bCs/>
          <w:color w:val="auto"/>
          <w:sz w:val="21"/>
          <w:szCs w:val="21"/>
        </w:rPr>
        <w:t xml:space="preserve">大纲执笔人： </w:t>
      </w:r>
      <w:r>
        <w:rPr>
          <w:rFonts w:hint="eastAsia"/>
          <w:bCs/>
          <w:color w:val="auto"/>
          <w:sz w:val="21"/>
          <w:szCs w:val="21"/>
          <w:lang w:val="en-US" w:eastAsia="zh-CN"/>
        </w:rPr>
        <w:t>丁娟</w:t>
      </w:r>
    </w:p>
    <w:p>
      <w:pPr>
        <w:spacing w:line="360" w:lineRule="auto"/>
        <w:ind w:left="4620" w:firstLine="420"/>
        <w:rPr>
          <w:rFonts w:hint="default" w:eastAsia="宋体"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Cs/>
          <w:color w:val="auto"/>
          <w:sz w:val="21"/>
          <w:szCs w:val="21"/>
        </w:rPr>
        <w:t>讨论参与人:</w:t>
      </w:r>
      <w:r>
        <w:rPr>
          <w:rFonts w:hint="eastAsia" w:ascii="Times New Roman" w:cs="Times New Roman"/>
          <w:color w:val="auto"/>
        </w:rPr>
        <w:t xml:space="preserve"> </w:t>
      </w:r>
      <w:r>
        <w:rPr>
          <w:rFonts w:hint="eastAsia" w:ascii="Times New Roman" w:cs="Times New Roman"/>
          <w:color w:val="auto"/>
          <w:lang w:val="en-US" w:eastAsia="zh-CN"/>
        </w:rPr>
        <w:t>陈洵凛</w:t>
      </w:r>
    </w:p>
    <w:p>
      <w:pPr>
        <w:spacing w:line="360" w:lineRule="auto"/>
        <w:ind w:left="4620" w:firstLine="420"/>
        <w:rPr>
          <w:bCs/>
          <w:color w:val="auto"/>
          <w:sz w:val="21"/>
          <w:szCs w:val="21"/>
        </w:rPr>
      </w:pPr>
      <w:r>
        <w:rPr>
          <w:rFonts w:hint="eastAsia"/>
          <w:bCs/>
          <w:color w:val="auto"/>
          <w:sz w:val="21"/>
          <w:szCs w:val="21"/>
        </w:rPr>
        <w:t>系（教研室）主任：</w:t>
      </w:r>
      <w:r>
        <w:rPr>
          <w:rFonts w:hint="eastAsia" w:ascii="Times New Roman" w:cs="Times New Roman"/>
          <w:color w:val="auto"/>
          <w:lang w:val="en-US" w:eastAsia="zh-CN"/>
        </w:rPr>
        <w:t xml:space="preserve">吴蕾  </w:t>
      </w:r>
    </w:p>
    <w:p>
      <w:pPr>
        <w:spacing w:line="360" w:lineRule="auto"/>
        <w:ind w:left="4620" w:firstLine="420"/>
        <w:rPr>
          <w:color w:val="auto"/>
        </w:rPr>
      </w:pPr>
      <w:r>
        <w:rPr>
          <w:rFonts w:hint="eastAsia"/>
          <w:bCs/>
          <w:color w:val="auto"/>
          <w:sz w:val="21"/>
          <w:szCs w:val="21"/>
        </w:rPr>
        <w:t>学院（部）审核人：刘甫</w:t>
      </w:r>
    </w:p>
    <w:p>
      <w:pPr>
        <w:spacing w:line="360" w:lineRule="auto"/>
        <w:ind w:firstLine="6050" w:firstLineChars="275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F6BF8"/>
    <w:multiLevelType w:val="singleLevel"/>
    <w:tmpl w:val="D42F6BF8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4YWE2NWM2NjkyMzUxOGRkNDNkNjJlMmYxYjJlZDkifQ=="/>
  </w:docVars>
  <w:rsids>
    <w:rsidRoot w:val="075D5BEF"/>
    <w:rsid w:val="00012540"/>
    <w:rsid w:val="000205F2"/>
    <w:rsid w:val="0003599D"/>
    <w:rsid w:val="00035FF1"/>
    <w:rsid w:val="0005209E"/>
    <w:rsid w:val="00073853"/>
    <w:rsid w:val="000768E9"/>
    <w:rsid w:val="0008296D"/>
    <w:rsid w:val="00084699"/>
    <w:rsid w:val="000A677F"/>
    <w:rsid w:val="000C68E1"/>
    <w:rsid w:val="000F1245"/>
    <w:rsid w:val="00102108"/>
    <w:rsid w:val="00117742"/>
    <w:rsid w:val="00117AF3"/>
    <w:rsid w:val="00120AA8"/>
    <w:rsid w:val="00132634"/>
    <w:rsid w:val="0014078B"/>
    <w:rsid w:val="0016141A"/>
    <w:rsid w:val="0017197E"/>
    <w:rsid w:val="00181711"/>
    <w:rsid w:val="00186529"/>
    <w:rsid w:val="001A7F8B"/>
    <w:rsid w:val="001C475B"/>
    <w:rsid w:val="002133F3"/>
    <w:rsid w:val="002236D6"/>
    <w:rsid w:val="0023012A"/>
    <w:rsid w:val="00241968"/>
    <w:rsid w:val="00253FE8"/>
    <w:rsid w:val="0026214A"/>
    <w:rsid w:val="00284882"/>
    <w:rsid w:val="002A2B42"/>
    <w:rsid w:val="002B2FE1"/>
    <w:rsid w:val="002B4223"/>
    <w:rsid w:val="002B457A"/>
    <w:rsid w:val="002B4E62"/>
    <w:rsid w:val="002B4F67"/>
    <w:rsid w:val="0030629B"/>
    <w:rsid w:val="003228B5"/>
    <w:rsid w:val="00325505"/>
    <w:rsid w:val="00353DB5"/>
    <w:rsid w:val="00397C7E"/>
    <w:rsid w:val="003B313D"/>
    <w:rsid w:val="003C3F8D"/>
    <w:rsid w:val="003E2C4B"/>
    <w:rsid w:val="003E3141"/>
    <w:rsid w:val="003F3822"/>
    <w:rsid w:val="00416B93"/>
    <w:rsid w:val="00440EED"/>
    <w:rsid w:val="0044236D"/>
    <w:rsid w:val="00447637"/>
    <w:rsid w:val="00474D17"/>
    <w:rsid w:val="00485CE3"/>
    <w:rsid w:val="004876F7"/>
    <w:rsid w:val="004907E9"/>
    <w:rsid w:val="004B5333"/>
    <w:rsid w:val="004C2C10"/>
    <w:rsid w:val="005033B7"/>
    <w:rsid w:val="00506CD8"/>
    <w:rsid w:val="00526DFB"/>
    <w:rsid w:val="0054495B"/>
    <w:rsid w:val="00567FA2"/>
    <w:rsid w:val="00584C28"/>
    <w:rsid w:val="005A4D93"/>
    <w:rsid w:val="005B45F3"/>
    <w:rsid w:val="005E1703"/>
    <w:rsid w:val="005F3360"/>
    <w:rsid w:val="006002E2"/>
    <w:rsid w:val="00621CEE"/>
    <w:rsid w:val="00630208"/>
    <w:rsid w:val="0063273E"/>
    <w:rsid w:val="006416AE"/>
    <w:rsid w:val="00643E8F"/>
    <w:rsid w:val="00652556"/>
    <w:rsid w:val="006570CD"/>
    <w:rsid w:val="00657B6A"/>
    <w:rsid w:val="006758F5"/>
    <w:rsid w:val="0068063C"/>
    <w:rsid w:val="0069271D"/>
    <w:rsid w:val="006A2F7F"/>
    <w:rsid w:val="006C60E1"/>
    <w:rsid w:val="006D6550"/>
    <w:rsid w:val="006F641E"/>
    <w:rsid w:val="00702451"/>
    <w:rsid w:val="00717942"/>
    <w:rsid w:val="00725A02"/>
    <w:rsid w:val="007600C4"/>
    <w:rsid w:val="007662C4"/>
    <w:rsid w:val="00784814"/>
    <w:rsid w:val="007A214A"/>
    <w:rsid w:val="007A67E5"/>
    <w:rsid w:val="007B3AD9"/>
    <w:rsid w:val="007B61BF"/>
    <w:rsid w:val="007C2436"/>
    <w:rsid w:val="007E7300"/>
    <w:rsid w:val="007F4425"/>
    <w:rsid w:val="007F4B11"/>
    <w:rsid w:val="007F6780"/>
    <w:rsid w:val="00827B13"/>
    <w:rsid w:val="00860D08"/>
    <w:rsid w:val="008913FD"/>
    <w:rsid w:val="008C2FD0"/>
    <w:rsid w:val="008C7772"/>
    <w:rsid w:val="008D0357"/>
    <w:rsid w:val="008E2711"/>
    <w:rsid w:val="008F28ED"/>
    <w:rsid w:val="008F5393"/>
    <w:rsid w:val="008F65E8"/>
    <w:rsid w:val="00951E14"/>
    <w:rsid w:val="009568BE"/>
    <w:rsid w:val="00970FAF"/>
    <w:rsid w:val="009861B4"/>
    <w:rsid w:val="00995B85"/>
    <w:rsid w:val="009B288D"/>
    <w:rsid w:val="009C2776"/>
    <w:rsid w:val="009D1EB2"/>
    <w:rsid w:val="00A1183A"/>
    <w:rsid w:val="00A172A4"/>
    <w:rsid w:val="00A243DC"/>
    <w:rsid w:val="00A3222B"/>
    <w:rsid w:val="00A6012B"/>
    <w:rsid w:val="00A755E9"/>
    <w:rsid w:val="00A83900"/>
    <w:rsid w:val="00AD09FA"/>
    <w:rsid w:val="00AD5716"/>
    <w:rsid w:val="00B018F3"/>
    <w:rsid w:val="00B21F33"/>
    <w:rsid w:val="00B26A48"/>
    <w:rsid w:val="00B7062B"/>
    <w:rsid w:val="00B73FF5"/>
    <w:rsid w:val="00B83D84"/>
    <w:rsid w:val="00BB4A01"/>
    <w:rsid w:val="00BB5B05"/>
    <w:rsid w:val="00BF311F"/>
    <w:rsid w:val="00C01FFF"/>
    <w:rsid w:val="00C23871"/>
    <w:rsid w:val="00C32992"/>
    <w:rsid w:val="00C45ABC"/>
    <w:rsid w:val="00C50DF6"/>
    <w:rsid w:val="00C873A8"/>
    <w:rsid w:val="00C93E97"/>
    <w:rsid w:val="00C97C27"/>
    <w:rsid w:val="00CA6431"/>
    <w:rsid w:val="00CB6AB5"/>
    <w:rsid w:val="00CC4381"/>
    <w:rsid w:val="00CF38A0"/>
    <w:rsid w:val="00CF4060"/>
    <w:rsid w:val="00D03C77"/>
    <w:rsid w:val="00D26280"/>
    <w:rsid w:val="00D41B93"/>
    <w:rsid w:val="00D56551"/>
    <w:rsid w:val="00D62FA5"/>
    <w:rsid w:val="00D65052"/>
    <w:rsid w:val="00D844D4"/>
    <w:rsid w:val="00DA0D8B"/>
    <w:rsid w:val="00DB70B2"/>
    <w:rsid w:val="00DC5E2F"/>
    <w:rsid w:val="00DD074A"/>
    <w:rsid w:val="00E001BE"/>
    <w:rsid w:val="00E34965"/>
    <w:rsid w:val="00E4240C"/>
    <w:rsid w:val="00E707F2"/>
    <w:rsid w:val="00E7273E"/>
    <w:rsid w:val="00E745AA"/>
    <w:rsid w:val="00E75511"/>
    <w:rsid w:val="00E76B98"/>
    <w:rsid w:val="00E775C1"/>
    <w:rsid w:val="00E90E4F"/>
    <w:rsid w:val="00E92621"/>
    <w:rsid w:val="00E9461B"/>
    <w:rsid w:val="00EA1529"/>
    <w:rsid w:val="00EC3034"/>
    <w:rsid w:val="00EC4453"/>
    <w:rsid w:val="00EF24EC"/>
    <w:rsid w:val="00EF2967"/>
    <w:rsid w:val="00EF6F13"/>
    <w:rsid w:val="00F134F5"/>
    <w:rsid w:val="00F52109"/>
    <w:rsid w:val="00F54561"/>
    <w:rsid w:val="00F54C72"/>
    <w:rsid w:val="00F61959"/>
    <w:rsid w:val="00F67D58"/>
    <w:rsid w:val="00F831B2"/>
    <w:rsid w:val="00FA68F1"/>
    <w:rsid w:val="00FA6A61"/>
    <w:rsid w:val="00FB4AB4"/>
    <w:rsid w:val="00FB7ADC"/>
    <w:rsid w:val="00FD227E"/>
    <w:rsid w:val="00FE30F7"/>
    <w:rsid w:val="00FE389A"/>
    <w:rsid w:val="00FF444B"/>
    <w:rsid w:val="02514429"/>
    <w:rsid w:val="027A0BA7"/>
    <w:rsid w:val="0288005D"/>
    <w:rsid w:val="02CF4893"/>
    <w:rsid w:val="06C71910"/>
    <w:rsid w:val="075D5BEF"/>
    <w:rsid w:val="088F5575"/>
    <w:rsid w:val="097A6225"/>
    <w:rsid w:val="09A50717"/>
    <w:rsid w:val="0BF26547"/>
    <w:rsid w:val="0C605BA6"/>
    <w:rsid w:val="0C9F1A2D"/>
    <w:rsid w:val="0CDD3D2C"/>
    <w:rsid w:val="0D7C4909"/>
    <w:rsid w:val="0D9A0A83"/>
    <w:rsid w:val="0DC14423"/>
    <w:rsid w:val="0ECC43DF"/>
    <w:rsid w:val="0F900C4F"/>
    <w:rsid w:val="10E723F2"/>
    <w:rsid w:val="11030202"/>
    <w:rsid w:val="114D7BB1"/>
    <w:rsid w:val="11FE3E97"/>
    <w:rsid w:val="12C104E7"/>
    <w:rsid w:val="12EF7422"/>
    <w:rsid w:val="132D462C"/>
    <w:rsid w:val="13F90322"/>
    <w:rsid w:val="14894780"/>
    <w:rsid w:val="16721235"/>
    <w:rsid w:val="16AC6950"/>
    <w:rsid w:val="16F74D42"/>
    <w:rsid w:val="16F94C2D"/>
    <w:rsid w:val="17E54554"/>
    <w:rsid w:val="19026C9B"/>
    <w:rsid w:val="19053D5D"/>
    <w:rsid w:val="1B4D6248"/>
    <w:rsid w:val="1C4C0FD2"/>
    <w:rsid w:val="1CDF52C6"/>
    <w:rsid w:val="1D554B87"/>
    <w:rsid w:val="1DCF4C7E"/>
    <w:rsid w:val="1E40188A"/>
    <w:rsid w:val="1E6502D1"/>
    <w:rsid w:val="1E8A06CD"/>
    <w:rsid w:val="1E8C45D9"/>
    <w:rsid w:val="1E8F21F6"/>
    <w:rsid w:val="1EBA4C18"/>
    <w:rsid w:val="1F4327F4"/>
    <w:rsid w:val="1F6D440A"/>
    <w:rsid w:val="1F770D82"/>
    <w:rsid w:val="1FC73DAF"/>
    <w:rsid w:val="20501A87"/>
    <w:rsid w:val="214632EE"/>
    <w:rsid w:val="22370462"/>
    <w:rsid w:val="226B2757"/>
    <w:rsid w:val="244362A8"/>
    <w:rsid w:val="24F353B2"/>
    <w:rsid w:val="2553373E"/>
    <w:rsid w:val="25CF7ABF"/>
    <w:rsid w:val="25D71D51"/>
    <w:rsid w:val="275163C0"/>
    <w:rsid w:val="27F26029"/>
    <w:rsid w:val="29930F11"/>
    <w:rsid w:val="2A103ECC"/>
    <w:rsid w:val="2B00605D"/>
    <w:rsid w:val="2B130C87"/>
    <w:rsid w:val="2B2A1401"/>
    <w:rsid w:val="2BC057BA"/>
    <w:rsid w:val="2E7400A3"/>
    <w:rsid w:val="2E9228B7"/>
    <w:rsid w:val="2F974B8C"/>
    <w:rsid w:val="301A5EE8"/>
    <w:rsid w:val="30D00355"/>
    <w:rsid w:val="31223B3B"/>
    <w:rsid w:val="31A142BF"/>
    <w:rsid w:val="31CF0E3E"/>
    <w:rsid w:val="31EE333F"/>
    <w:rsid w:val="32495C16"/>
    <w:rsid w:val="33700736"/>
    <w:rsid w:val="338B761A"/>
    <w:rsid w:val="344D1B9D"/>
    <w:rsid w:val="34592D57"/>
    <w:rsid w:val="348826AF"/>
    <w:rsid w:val="34C46399"/>
    <w:rsid w:val="356279EA"/>
    <w:rsid w:val="35B30926"/>
    <w:rsid w:val="361B774D"/>
    <w:rsid w:val="36246441"/>
    <w:rsid w:val="36251143"/>
    <w:rsid w:val="36326D0C"/>
    <w:rsid w:val="36BC03B6"/>
    <w:rsid w:val="37103BA1"/>
    <w:rsid w:val="3A3358F6"/>
    <w:rsid w:val="3A3E7902"/>
    <w:rsid w:val="3A461688"/>
    <w:rsid w:val="3A876A77"/>
    <w:rsid w:val="3ADD58C4"/>
    <w:rsid w:val="3AEA4709"/>
    <w:rsid w:val="3C1C4D96"/>
    <w:rsid w:val="3C323D6F"/>
    <w:rsid w:val="3CA25F7D"/>
    <w:rsid w:val="3CFC5B71"/>
    <w:rsid w:val="3D4829ED"/>
    <w:rsid w:val="3E1A70B4"/>
    <w:rsid w:val="3F713A49"/>
    <w:rsid w:val="40D82DFB"/>
    <w:rsid w:val="410B53D9"/>
    <w:rsid w:val="414A5F02"/>
    <w:rsid w:val="41C51DD2"/>
    <w:rsid w:val="423A7D24"/>
    <w:rsid w:val="431E13F4"/>
    <w:rsid w:val="43D927E9"/>
    <w:rsid w:val="44F00032"/>
    <w:rsid w:val="45172894"/>
    <w:rsid w:val="46A465DF"/>
    <w:rsid w:val="47051F92"/>
    <w:rsid w:val="471173E4"/>
    <w:rsid w:val="47665118"/>
    <w:rsid w:val="47BE4A19"/>
    <w:rsid w:val="486839B4"/>
    <w:rsid w:val="49C7262C"/>
    <w:rsid w:val="4A396B13"/>
    <w:rsid w:val="4A404346"/>
    <w:rsid w:val="4A8D1FE6"/>
    <w:rsid w:val="4AB6374B"/>
    <w:rsid w:val="4AC40AD3"/>
    <w:rsid w:val="4B40489E"/>
    <w:rsid w:val="4B4C5715"/>
    <w:rsid w:val="4B6D40BB"/>
    <w:rsid w:val="4D051DBB"/>
    <w:rsid w:val="4E6543E6"/>
    <w:rsid w:val="4E745E92"/>
    <w:rsid w:val="4E9F6F34"/>
    <w:rsid w:val="4EDE5EDB"/>
    <w:rsid w:val="502D0EC8"/>
    <w:rsid w:val="508B13F1"/>
    <w:rsid w:val="50B8519B"/>
    <w:rsid w:val="511819DC"/>
    <w:rsid w:val="52182FC4"/>
    <w:rsid w:val="52707792"/>
    <w:rsid w:val="52BE1F4E"/>
    <w:rsid w:val="548162A4"/>
    <w:rsid w:val="54875BAD"/>
    <w:rsid w:val="54951061"/>
    <w:rsid w:val="55D51354"/>
    <w:rsid w:val="56BC3AD9"/>
    <w:rsid w:val="57221BE6"/>
    <w:rsid w:val="57407733"/>
    <w:rsid w:val="5A407F24"/>
    <w:rsid w:val="5A9F6E67"/>
    <w:rsid w:val="5AEA013B"/>
    <w:rsid w:val="5CEE19DF"/>
    <w:rsid w:val="5CFA284C"/>
    <w:rsid w:val="5D6A375C"/>
    <w:rsid w:val="5E0249E9"/>
    <w:rsid w:val="5E780D4F"/>
    <w:rsid w:val="5EFE44F3"/>
    <w:rsid w:val="616368A3"/>
    <w:rsid w:val="624562DE"/>
    <w:rsid w:val="624E75DF"/>
    <w:rsid w:val="62E23289"/>
    <w:rsid w:val="63E97911"/>
    <w:rsid w:val="64B55650"/>
    <w:rsid w:val="64FD3107"/>
    <w:rsid w:val="657F1D6E"/>
    <w:rsid w:val="658704AF"/>
    <w:rsid w:val="65A26A4F"/>
    <w:rsid w:val="670F79FA"/>
    <w:rsid w:val="689C384C"/>
    <w:rsid w:val="69162CC5"/>
    <w:rsid w:val="69F22B9A"/>
    <w:rsid w:val="6A876FCF"/>
    <w:rsid w:val="6B9B7DB6"/>
    <w:rsid w:val="6C4433CA"/>
    <w:rsid w:val="6CDD4570"/>
    <w:rsid w:val="6DA06D26"/>
    <w:rsid w:val="6DB70E31"/>
    <w:rsid w:val="700F495D"/>
    <w:rsid w:val="708663F7"/>
    <w:rsid w:val="70AD3060"/>
    <w:rsid w:val="71A7216A"/>
    <w:rsid w:val="71BC7967"/>
    <w:rsid w:val="7273391E"/>
    <w:rsid w:val="7298621E"/>
    <w:rsid w:val="7309437E"/>
    <w:rsid w:val="73942E89"/>
    <w:rsid w:val="75644ADD"/>
    <w:rsid w:val="765D35AF"/>
    <w:rsid w:val="77043765"/>
    <w:rsid w:val="77DE17D0"/>
    <w:rsid w:val="797132F1"/>
    <w:rsid w:val="79C56A40"/>
    <w:rsid w:val="7A6507D1"/>
    <w:rsid w:val="7B165244"/>
    <w:rsid w:val="7B1A0DFA"/>
    <w:rsid w:val="7B552893"/>
    <w:rsid w:val="7C1A5EF5"/>
    <w:rsid w:val="7C2B6FA4"/>
    <w:rsid w:val="7CE912D4"/>
    <w:rsid w:val="7DFB5F02"/>
    <w:rsid w:val="7E174685"/>
    <w:rsid w:val="7EB0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500" w:lineRule="atLeast"/>
    </w:pPr>
    <w:rPr>
      <w:rFonts w:ascii="宋体"/>
      <w:bCs/>
      <w:sz w:val="28"/>
    </w:rPr>
  </w:style>
  <w:style w:type="paragraph" w:styleId="3">
    <w:name w:val="annotation text"/>
    <w:basedOn w:val="1"/>
    <w:link w:val="15"/>
    <w:qFormat/>
    <w:uiPriority w:val="0"/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文字 Char"/>
    <w:basedOn w:val="9"/>
    <w:link w:val="3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6">
    <w:name w:val="批注主题 Char"/>
    <w:basedOn w:val="15"/>
    <w:link w:val="6"/>
    <w:qFormat/>
    <w:uiPriority w:val="0"/>
    <w:rPr>
      <w:rFonts w:ascii="宋体" w:hAnsi="宋体" w:eastAsia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722</Words>
  <Characters>4117</Characters>
  <Lines>34</Lines>
  <Paragraphs>9</Paragraphs>
  <TotalTime>5</TotalTime>
  <ScaleCrop>false</ScaleCrop>
  <LinksUpToDate>false</LinksUpToDate>
  <CharactersWithSpaces>4830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2021-12-06T07:42:00Z</dcterms:created>
  <dc:creator>guanhy</dc:creator>
  <cp:lastModifiedBy>Gao</cp:lastModifiedBy>
  <dcterms:modified xsi:type="dcterms:W3CDTF">2023-12-15T01:26:04Z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B4017474EF0C4E598AA08FEAC6813276</vt:lpwstr>
  </property>
</Properties>
</file>