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专业课程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eastAsia="zh-CN"/>
              </w:rPr>
              <w:t>建设工程法规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Construction Engineering Regulations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J37B085D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工程管理（专升本）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  <w:highlight w:val="none"/>
              </w:rPr>
              <w:t>城建与环境学院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课程具有实用性强、时效性强和涉及面广的特点，是一门专业性很强的课程，也是工程类相关执业资格考试科目之一，足见其重要性和实用性。该课程系统讲述目前建筑企业在生产运作过程中，必须严格遵守的法律、法规和准则，以建设行政法、建设经济法、建筑技术法规作为脉络体系，结合工程建设案例，并根据国家最新的法律、法规及时调整教学内容，突出应用性和实践性。通过本课程的教学，帮助学生掌握建设法律、法规基本知识，培养工程建设法律意识，使学生具备运用所学建设法律、法规基本知识解决工程建设中相关法律问题的基本能力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目标1：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了解工程建设法律法规的基本知识、重点法律条例内容。能够掌握建设法律法规中的重点条例、基础法律知识，并应用与实际案例的分析解决。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3.4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能够在工程造价方案设计中考虑社会、经济、健康、安全、法律、文化以及环境等因素。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形成牢固的建筑工程法律法规知识基础，掌握重点法律条例。对建筑行业中出现的法律问题具有一定的辨析能力和解决能力。</w:t>
            </w:r>
          </w:p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numPr>
                <w:ilvl w:val="0"/>
                <w:numId w:val="1"/>
              </w:num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工程与社会：能够基于工程相关背景知识进行合理分析，评价专业工程实践和复杂工程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问题解决方案对社会、健康、安全、法律以及文化的影响，并理解应承担的责任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 w:rightChars="0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工程与社会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培养良好的建筑工程职业的专业法律意识。能够理解和评价针对复杂工程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问题的工程实践对环境、社会可持续发展的影响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7.1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理解工程环境和可持续发展在工程造价管理中的理念和内涵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5" w:type="dxa"/>
            <w:vAlign w:val="top"/>
          </w:tcPr>
          <w:p>
            <w:pPr>
              <w:shd w:val="clear" w:color="auto" w:fill="FFFFFF"/>
              <w:spacing w:before="75" w:after="75"/>
              <w:ind w:right="75" w:rightChars="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7.环境可持续发展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3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737"/>
        <w:gridCol w:w="1141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73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14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建设工程法规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体系及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构成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建设工程法规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建设工程法规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的构成及与相关法律的关系。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课前下发先导案例，预习思考案例中的问题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法律基础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与相关制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民法基础、建设工程代理制度、建设工程物权制度、建设工程债权制度、建设工程担保制度、建设工程保险制度、建设工程税收制度、建设工程法律责任制度。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建设工程代理制度、建设工程债权制度、建设工程担保制度、建设工程保险制度、建设工程税收制度。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课前下发先导案例，预习思考案例中的问题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城乡规划的主要内容和编制原则、城乡规划的制定、城乡规划的实施与修改、风景名胜区和历史文化名城管理。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城乡规划的实施与修改。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课前查询我国的风景名胜区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及历史文化名城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建筑法律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建筑工程发包与承包、建筑工程监理、建筑工程安全生产管理、建筑工程质量管理、民用建筑节能。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建筑工程发包与承包、建筑工程监理、建筑工程安全生产管理、建筑工程质量管理。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通过民用建筑节能案例的分析，展示我国建筑节能方面的先进性及优越性，启发学生的职业自豪感及职业自信心，激发学生的节能意识、创新意识。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课前查询我国典型的民用建筑节能案例；课后习题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建设工程施工许可法律制度、建筑活动从业资格许可法律制度、建筑施工企业安全生产许可法律制度。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建设工程施工许可法律制度。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通过未严格执行我国建设工程行政许可法律制度的典型案例分析，加强学生的法律法规意识、安全生产意识。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课前查询未严格执行我国建设工程行政许可法律制度的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典型案例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建设工程招标、建设工程投标、建设工程开标、评标与定标、建设工程招标投标的禁止性规定。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招标、投标、开标、评标定标的法律制度。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思政元素：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通过未招投标典型案例分析，加强学生的法律法规意识、责任意识。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课前下发先导案例，预习思考案例中的问题；课后习题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勘察设计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建设工程勘察设计单位的经营管理制度、建设工程勘察设计发包与承包、建设工程勘察设计文件的编制。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课前下发先导案例，预习思考案例中的问题；课后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合同法律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建设工程合同的主要内容、建设工程合同的订立与履行、建设工程合同的效力、建设工程合同的违约责任。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无。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课前下发先导案例，预习思考案例中的问题；课后习题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纠纷处理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37" w:type="dxa"/>
            <w:vAlign w:val="center"/>
          </w:tcPr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仲裁制度、民事诉讼、建设工程行政纠纷的处理。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建设工程行政纠纷的处理。</w:t>
            </w:r>
          </w:p>
          <w:p>
            <w:pPr>
              <w:adjustRightInd w:val="0"/>
              <w:jc w:val="both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教学方法与策略：线下教学。课堂运用主要运用讲授法、演示、讨论、训练、归纳、案例分析等方法开展教学，辅以启发式提问拓宽学生学习思路。</w:t>
            </w:r>
          </w:p>
        </w:tc>
        <w:tc>
          <w:tcPr>
            <w:tcW w:w="1141" w:type="dxa"/>
            <w:vAlign w:val="center"/>
          </w:tcPr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课前下发先导案例，预习思考案例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中的问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题；课后</w:t>
            </w:r>
          </w:p>
          <w:p>
            <w:pPr>
              <w:adjustRightInd w:val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习题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420" w:firstLineChars="200"/>
        <w:jc w:val="both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</w:t>
      </w:r>
    </w:p>
    <w:p>
      <w:pPr>
        <w:spacing w:line="360" w:lineRule="auto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本课程中，学生的最终成绩是由平时成绩、期末考试等两个部分组成。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1.平时成绩（占总成绩的30%）：采用百分制。采用百分制。平时成绩分作业（占10%）、</w:t>
      </w:r>
    </w:p>
    <w:p>
      <w:pPr>
        <w:spacing w:line="360" w:lineRule="auto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课堂表现（占10%）、考勤（占10%）两个部分。评分标准如下表：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hint="eastAsia" w:ascii="Times New Roman" w:eastAsia="宋体" w:cs="Times New Roman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分数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1.作业； 2.课堂表现； 3.考勤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 90％以上的作业习题解答正确。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2.课堂表现积极、听课状态积极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3.考勤出勤率90~100%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1.作业书写工整、书面整洁；； 80％以上的作业习题解答正确。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2.课堂表现良好、听课状态良好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3.考勤出勤率80~89%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 70％以上的作业习题解答正确。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2.课堂表现及听课状态一般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3.考勤出勤率70~79%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1.作业书写较工整、书面较整洁； 60％以上的作业习题解答正确。</w:t>
            </w:r>
          </w:p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2.课堂表现及听课状态一般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3.考勤出勤率60~69%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1.字迹模糊、卷面书写零乱；超过40％的作业习题解答不正确。</w:t>
            </w:r>
          </w:p>
          <w:p>
            <w:pPr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2.考勤出勤率低于60%</w:t>
            </w:r>
          </w:p>
        </w:tc>
      </w:tr>
    </w:tbl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2.期末考试（占总成绩的70%）：采用百分制。期末考试的考核内容、题型和分值分配</w:t>
      </w:r>
    </w:p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情况请见下表：</w:t>
      </w:r>
    </w:p>
    <w:tbl>
      <w:tblPr>
        <w:tblStyle w:val="3"/>
        <w:tblW w:w="85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108"/>
        <w:gridCol w:w="1823"/>
        <w:gridCol w:w="798"/>
        <w:gridCol w:w="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182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sz w:val="21"/>
                <w:szCs w:val="21"/>
                <w:lang w:eastAsia="zh-CN"/>
              </w:rPr>
              <w:t>建设工程法规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体系及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构成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cs="宋体"/>
                <w:b w:val="0"/>
                <w:bCs w:val="0"/>
                <w:color w:val="333333"/>
                <w:sz w:val="21"/>
                <w:szCs w:val="21"/>
                <w:lang w:eastAsia="zh-CN"/>
              </w:rPr>
              <w:t>建设工程法规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体系、</w:t>
            </w:r>
            <w:r>
              <w:rPr>
                <w:rFonts w:hint="eastAsia" w:cs="宋体"/>
                <w:b w:val="0"/>
                <w:bCs w:val="0"/>
                <w:color w:val="333333"/>
                <w:sz w:val="21"/>
                <w:szCs w:val="21"/>
                <w:lang w:eastAsia="zh-CN"/>
              </w:rPr>
              <w:t>建设工程法规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的构成及与相关法律的关系。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法律基础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与相关制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民法基础、建设工程代理制度、建设工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程物权制度、建设工程债权制度。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建设工程担保制度、建设工程保险制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度、建设工程税收制度、建设工程法律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责任制度。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城乡规划的主要内容、编制原则、制定、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实施与修改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建筑法律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建筑工程发包与承包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建筑工程监理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建筑工程安全生产管理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建筑工程质量管理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建设工程施工许可法律制度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建筑活动从业资格许可法律制度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建筑施工企业安全生产许可法律制度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招标投标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建设工程招标、投标、开标、评标与定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标</w:t>
            </w:r>
          </w:p>
          <w:p>
            <w:pPr>
              <w:snapToGrid w:val="0"/>
              <w:ind w:left="181"/>
              <w:jc w:val="both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1"/>
                <w:szCs w:val="21"/>
              </w:rPr>
              <w:t>建设工程招标投标的禁止性规定</w:t>
            </w:r>
          </w:p>
        </w:tc>
        <w:tc>
          <w:tcPr>
            <w:tcW w:w="182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勘察设计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建设工程勘察设计单位的经营管理制</w:t>
            </w:r>
          </w:p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度、建设工程勘察设计发包与承包、建</w:t>
            </w:r>
          </w:p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设工程勘察设计文件的编制。</w:t>
            </w:r>
          </w:p>
        </w:tc>
        <w:tc>
          <w:tcPr>
            <w:tcW w:w="182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合同法律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建设工程合同的主要内容、订立与履行、效力、违约责任</w:t>
            </w:r>
          </w:p>
        </w:tc>
        <w:tc>
          <w:tcPr>
            <w:tcW w:w="182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建设工程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纠纷处理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法律制度</w:t>
            </w:r>
          </w:p>
        </w:tc>
        <w:tc>
          <w:tcPr>
            <w:tcW w:w="4108" w:type="dxa"/>
            <w:vAlign w:val="center"/>
          </w:tcPr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仲裁制度、民事诉讼、建设工程行政纠</w:t>
            </w:r>
          </w:p>
          <w:p>
            <w:pPr>
              <w:snapToGrid w:val="0"/>
              <w:ind w:left="462" w:leftChars="86" w:hanging="273" w:hangingChars="13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纷的处理。</w:t>
            </w:r>
          </w:p>
        </w:tc>
        <w:tc>
          <w:tcPr>
            <w:tcW w:w="1823" w:type="dxa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单选题、多选题、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判断题、填空题、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简答题、论述题等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>
      <w:pPr>
        <w:pStyle w:val="8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4"/>
        <w:tblpPr w:leftFromText="180" w:rightFromText="180" w:vertAnchor="text" w:horzAnchor="page" w:tblpX="1918" w:tblpY="7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中级及以上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学历（位）：研究生（硕士）及以上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 1-8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 4节/周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线上方式及时间安排：线上辅导，时间由授课老师自行安排。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线下地点及时间安排：授课教师自行确定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[1]张叶红.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[M].北京：机械工业出版社, 2022.03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[2]项勇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卢立宇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黄锐.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[M].北京：机械工业出版社, 2022.07</w:t>
      </w: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  <w:bookmarkStart w:id="0" w:name="_GoBack"/>
      <w:bookmarkEnd w:id="0"/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[1]马凤玲.工程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概论[M].北京：中国建筑工业出版社, 2023.08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[2]黄安永.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[M].南京：东南大学出版社, 2023.08</w:t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 中国大学MOOC（慕课），《建设工程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https://www.icourse163.org/course/QHCTC-1207252802?from=searchPage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 中国大学MOOC（慕课），《土木工程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建设工程法规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"https://www.icourse163.org/course/HHU-1206741804?from=searchPage" </w:instrTex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https://www.icourse163.org/course/HHU-1206741804?from=searchPage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360" w:lineRule="auto"/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授课教师提供的多媒体课件、习题答案等。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大纲执笔人：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张飞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郭亚芳、何长军</w:t>
      </w: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张进</w:t>
      </w:r>
    </w:p>
    <w:p>
      <w:pPr>
        <w:spacing w:line="360" w:lineRule="auto"/>
        <w:ind w:firstLine="5775" w:firstLineChars="2750"/>
        <w:rPr>
          <w:rFonts w:hint="default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肖红飞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D346F1"/>
    <w:multiLevelType w:val="singleLevel"/>
    <w:tmpl w:val="A0D346F1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jY1OTRlYWRhZGExNmYyMzkyYjliYmYzNjI5MmIifQ=="/>
  </w:docVars>
  <w:rsids>
    <w:rsidRoot w:val="075D5BEF"/>
    <w:rsid w:val="075D5BEF"/>
    <w:rsid w:val="098E17E4"/>
    <w:rsid w:val="09A92E26"/>
    <w:rsid w:val="0D9A0A83"/>
    <w:rsid w:val="0ED557FB"/>
    <w:rsid w:val="1AC018D8"/>
    <w:rsid w:val="1F9834EB"/>
    <w:rsid w:val="25BE7351"/>
    <w:rsid w:val="283B5688"/>
    <w:rsid w:val="300C6CDD"/>
    <w:rsid w:val="31E34421"/>
    <w:rsid w:val="38A513D8"/>
    <w:rsid w:val="39827BE8"/>
    <w:rsid w:val="3C5E7A59"/>
    <w:rsid w:val="3E8B1602"/>
    <w:rsid w:val="4BB574F1"/>
    <w:rsid w:val="4FFB7F50"/>
    <w:rsid w:val="58011B3B"/>
    <w:rsid w:val="59D72BEB"/>
    <w:rsid w:val="5A872FDE"/>
    <w:rsid w:val="5D602DFC"/>
    <w:rsid w:val="633805D0"/>
    <w:rsid w:val="689C384C"/>
    <w:rsid w:val="6D4D2C4F"/>
    <w:rsid w:val="7A050278"/>
    <w:rsid w:val="7BBD5239"/>
    <w:rsid w:val="7CA2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styleId="7">
    <w:name w:val="annotation reference"/>
    <w:basedOn w:val="5"/>
    <w:qFormat/>
    <w:uiPriority w:val="0"/>
    <w:rPr>
      <w:sz w:val="21"/>
      <w:szCs w:val="21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4144</Words>
  <Characters>4448</Characters>
  <Lines>0</Lines>
  <Paragraphs>0</Paragraphs>
  <TotalTime>16</TotalTime>
  <ScaleCrop>false</ScaleCrop>
  <LinksUpToDate>false</LinksUpToDate>
  <CharactersWithSpaces>4508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jxyang</cp:lastModifiedBy>
  <dcterms:modified xsi:type="dcterms:W3CDTF">2023-08-29T08:50:15Z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B4017474EF0C4E598AA08FEAC6813276</vt:lpwstr>
  </property>
</Properties>
</file>