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房屋建筑学</w:t>
      </w:r>
      <w:r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》教学大纲</w:t>
      </w:r>
    </w:p>
    <w:p>
      <w:pPr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一、课程基本信息</w:t>
      </w:r>
    </w:p>
    <w:tbl>
      <w:tblPr>
        <w:tblStyle w:val="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hint="default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学科基础课程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房屋建筑学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PMingLiU"/>
                <w:sz w:val="21"/>
                <w:szCs w:val="21"/>
              </w:rPr>
              <w:t>Building Architecture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J37B033F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工程管理（专升本）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/ 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hint="eastAsia" w:eastAsia="宋体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jc w:val="center"/>
              <w:rPr>
                <w:rFonts w:hint="default" w:eastAsia="宋体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PMingLiU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城建与环境学院</w:t>
            </w:r>
          </w:p>
        </w:tc>
      </w:tr>
    </w:tbl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课程简介</w:t>
      </w:r>
    </w:p>
    <w:p>
      <w:pPr>
        <w:spacing w:before="120" w:beforeLines="50" w:line="360" w:lineRule="auto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《房屋建筑学》是一门研究建筑空间组合与建筑构造理论和方法的</w:t>
      </w:r>
      <w:r>
        <w:rPr>
          <w:rFonts w:hint="eastAsia"/>
          <w:sz w:val="21"/>
          <w:szCs w:val="21"/>
          <w:lang w:val="en-US" w:eastAsia="zh-CN"/>
        </w:rPr>
        <w:t>专业基础课程</w:t>
      </w:r>
      <w:r>
        <w:rPr>
          <w:rFonts w:hint="eastAsia"/>
          <w:sz w:val="21"/>
          <w:szCs w:val="21"/>
        </w:rPr>
        <w:t>，是土建类专业学生最早接触的一门重要的综合性、实践性、专业基础课程。课程帮助学生完成对建筑的认知、形成建筑设计意识以及探索设计构思表达，是从建筑认识论到设计方法论的启蒙篇。</w:t>
      </w:r>
    </w:p>
    <w:p>
      <w:pPr>
        <w:spacing w:line="360" w:lineRule="auto"/>
        <w:ind w:firstLine="420" w:firstLineChars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《房屋建筑学》从民用建筑设计出发，介绍一般建筑的设计原则和设计方法，再围绕民用建筑的六大构件（基础、墙柱、楼地层、楼梯、屋顶、门窗）详细介绍其基本构造原理和构造方法，旨在培养学生</w:t>
      </w:r>
      <w:r>
        <w:rPr>
          <w:sz w:val="21"/>
          <w:szCs w:val="21"/>
        </w:rPr>
        <w:t>民用建筑方案设计的初步能力</w:t>
      </w:r>
      <w:r>
        <w:rPr>
          <w:rFonts w:hint="eastAsia"/>
          <w:sz w:val="21"/>
          <w:szCs w:val="21"/>
        </w:rPr>
        <w:t>和运用“工程语言”来阅读建筑施工图的能力，为后续学习土木工程施工</w:t>
      </w:r>
      <w:r>
        <w:rPr>
          <w:rFonts w:hint="eastAsia"/>
          <w:sz w:val="21"/>
          <w:szCs w:val="21"/>
          <w:lang w:val="en-US" w:eastAsia="zh-CN"/>
        </w:rPr>
        <w:t>技术</w:t>
      </w:r>
      <w:r>
        <w:rPr>
          <w:rFonts w:hint="eastAsia"/>
          <w:sz w:val="21"/>
          <w:szCs w:val="21"/>
        </w:rPr>
        <w:t>、工程</w:t>
      </w:r>
      <w:r>
        <w:rPr>
          <w:rFonts w:hint="eastAsia"/>
          <w:sz w:val="21"/>
          <w:szCs w:val="21"/>
          <w:lang w:val="en-US" w:eastAsia="zh-CN"/>
        </w:rPr>
        <w:t>估价</w:t>
      </w:r>
      <w:r>
        <w:rPr>
          <w:rFonts w:hint="eastAsia"/>
          <w:sz w:val="21"/>
          <w:szCs w:val="21"/>
        </w:rPr>
        <w:t>等专业课程奠定基础。</w:t>
      </w: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三、课程教学目标</w:t>
      </w:r>
    </w:p>
    <w:tbl>
      <w:tblPr>
        <w:tblStyle w:val="3"/>
        <w:tblpPr w:leftFromText="180" w:rightFromText="180" w:vertAnchor="text" w:horzAnchor="margin" w:tblpY="17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827"/>
        <w:gridCol w:w="2721"/>
        <w:gridCol w:w="18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361" w:type="dxa"/>
            <w:gridSpan w:val="2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课程教学目标</w:t>
            </w:r>
          </w:p>
        </w:tc>
        <w:tc>
          <w:tcPr>
            <w:tcW w:w="2721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毕业要求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指标点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</w:t>
            </w: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84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掌握民用建筑设计的基本原理和方法；重点掌握建筑六大构件（基础、墙柱、楼地层、楼梯、屋顶、门窗）构造知识；了解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工业化建筑基本</w:t>
            </w:r>
            <w:r>
              <w:rPr>
                <w:sz w:val="21"/>
                <w:szCs w:val="21"/>
              </w:rPr>
              <w:t>知识。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1.4 能够将工程专业基础知识、实践技能与数学模型方法用于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工程管理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复杂工程问题解决方案的比较与综合。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1.工程知识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sz w:val="21"/>
                <w:szCs w:val="21"/>
              </w:rPr>
              <w:t>能够识读中小型民用建筑的建筑施工图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具备进行民用建筑方案设计的初步能力。</w:t>
            </w: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  <w:p>
            <w:pPr>
              <w:tabs>
                <w:tab w:val="left" w:pos="1440"/>
              </w:tabs>
              <w:outlineLvl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3.1 了解影响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工程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造价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的各种因素，掌握房屋建筑工程的投标报价、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最高投标限价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、设计概算及经济方案比选等设计方法与编制技术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3.设计/开发解决方案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3827" w:type="dxa"/>
            <w:vAlign w:val="center"/>
          </w:tcPr>
          <w:p>
            <w:pPr>
              <w:tabs>
                <w:tab w:val="left" w:pos="1440"/>
              </w:tabs>
              <w:outlineLvl w:val="0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树立严格遵守</w:t>
            </w:r>
            <w:r>
              <w:rPr>
                <w:sz w:val="21"/>
                <w:szCs w:val="21"/>
              </w:rPr>
              <w:t>行业现行设计规范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意识</w:t>
            </w:r>
            <w:r>
              <w:rPr>
                <w:sz w:val="21"/>
                <w:szCs w:val="21"/>
              </w:rPr>
              <w:t>，强化建筑安全意识和人文关怀，逐步形成建筑行业人员的职业道德素养。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通过案例教学，提高正确认识问题、分析问题和解决问题的能力。</w:t>
            </w:r>
          </w:p>
        </w:tc>
        <w:tc>
          <w:tcPr>
            <w:tcW w:w="2721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4.1 </w:t>
            </w:r>
            <w:r>
              <w:t>能运用</w:t>
            </w:r>
            <w:r>
              <w:rPr>
                <w:rFonts w:hint="eastAsia"/>
                <w:lang w:eastAsia="zh-CN"/>
              </w:rPr>
              <w:t>工程管理</w:t>
            </w:r>
            <w:r>
              <w:t>基本原理和知识，对</w:t>
            </w:r>
            <w:r>
              <w:rPr>
                <w:rFonts w:hint="eastAsia"/>
                <w:lang w:eastAsia="zh-CN"/>
              </w:rPr>
              <w:t>工程管理</w:t>
            </w:r>
            <w:r>
              <w:t>专业的复杂工程问题进行调研和分析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815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4.研究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四、课程主要教学内容、学时安排及教学策略</w:t>
      </w:r>
    </w:p>
    <w:tbl>
      <w:tblPr>
        <w:tblStyle w:val="3"/>
        <w:tblW w:w="86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791"/>
        <w:gridCol w:w="4515"/>
        <w:gridCol w:w="1363"/>
        <w:gridCol w:w="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  <w:tc>
          <w:tcPr>
            <w:tcW w:w="451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主要教学内容与策略</w:t>
            </w:r>
          </w:p>
        </w:tc>
        <w:tc>
          <w:tcPr>
            <w:tcW w:w="136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学习任务安排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077" w:type="dxa"/>
            <w:vAlign w:val="center"/>
          </w:tcPr>
          <w:p>
            <w:pPr>
              <w:snapToGrid w:val="0"/>
              <w:jc w:val="both"/>
              <w:rPr>
                <w:rFonts w:hint="eastAsia" w:eastAsia="宋体" w:asciiTheme="minorEastAsia" w:hAnsi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民用建筑设计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概述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建筑的分类和分级。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建筑设计的内容和程序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思政元素：</w:t>
            </w:r>
            <w:r>
              <w:rPr>
                <w:sz w:val="21"/>
                <w:szCs w:val="21"/>
              </w:rPr>
              <w:t>介绍建筑行业设计规范要求，列举因设计不符合规范导致的人员伤亡事故，强化建筑安全意识和人文关怀。</w:t>
            </w:r>
          </w:p>
          <w:p>
            <w:pPr>
              <w:snapToGrid w:val="0"/>
              <w:jc w:val="both"/>
              <w:rPr>
                <w:rFonts w:hint="eastAsia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线上线下混合式教学。线下主要采用讲授法和案例法开展教学，辅以启发式提问激发学生主动思考。线上教学主要通过在超星学习通上安排学习任务的方式开展。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提前准备案例教学问题；</w:t>
            </w:r>
            <w:r>
              <w:rPr>
                <w:sz w:val="21"/>
                <w:szCs w:val="21"/>
              </w:rPr>
              <w:t>完成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线上作业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snapToGrid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建筑平立剖设计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建筑的分类和分级；主要使用房间的平面设计；房屋各部分高度确定。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建筑平面组合设计；建筑空间组合与利用；建筑体型组合。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思政元素：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树立严格遵守</w:t>
            </w:r>
            <w:r>
              <w:rPr>
                <w:sz w:val="21"/>
                <w:szCs w:val="21"/>
              </w:rPr>
              <w:t>行业现行设计规范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意识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线上线下混合式教学。线下主要采用讲授法和案例法开展教学，辅以启发式提问激发学生主动思考。线上教学主要通过在超星学习通上安排学习任务的方式开展。难点内容通过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课后</w:t>
            </w:r>
            <w:r>
              <w:rPr>
                <w:sz w:val="21"/>
                <w:szCs w:val="21"/>
              </w:rPr>
              <w:t>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完成一项</w:t>
            </w:r>
            <w:r>
              <w:rPr>
                <w:sz w:val="21"/>
                <w:szCs w:val="21"/>
              </w:rPr>
              <w:t>建筑赏析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报告加强理解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提前准备案例教学问题；</w:t>
            </w:r>
            <w:r>
              <w:rPr>
                <w:sz w:val="21"/>
                <w:szCs w:val="21"/>
              </w:rPr>
              <w:t>完成一项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建筑作品赏析报告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77" w:type="dxa"/>
            <w:vAlign w:val="center"/>
          </w:tcPr>
          <w:p>
            <w:pPr>
              <w:snapToGrid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基础和地下室构造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基础类型；地下室防水构造。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基础埋置深度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sz w:val="21"/>
                <w:szCs w:val="21"/>
              </w:rPr>
              <w:t>影响因素；地下室防水构造。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思政元素：</w:t>
            </w:r>
            <w:r>
              <w:rPr>
                <w:sz w:val="21"/>
                <w:szCs w:val="21"/>
              </w:rPr>
              <w:t>介绍因基础埋置不合理产生的房屋倾斜事故，强化建筑安全意识。</w:t>
            </w:r>
          </w:p>
          <w:p>
            <w:pPr>
              <w:snapToGri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案例应涵盖独立基础、筏板基础、桩基础在实际工程中的应用，学会基础识图。线上教学主要通过在超星学习通上安排学习任务的方式开展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提前准备案例教学问题；完成线上作业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墙体构造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墙体的分类、墙体的材料、组砌方式及要求；墙体的设计要求；墙体细部构造；墙体抗震构造。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墙体细部构造；墙体抗震构造；隔墙构造；幕墙构造。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思政元素：</w:t>
            </w:r>
            <w:r>
              <w:rPr>
                <w:sz w:val="21"/>
                <w:szCs w:val="21"/>
              </w:rPr>
              <w:t>介绍空斗墙、空花墙构造，感受中国古代人民的墙体建造智慧，增强民族自豪感。</w:t>
            </w:r>
          </w:p>
          <w:p>
            <w:pPr>
              <w:snapToGrid w:val="0"/>
              <w:jc w:val="both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案例应涵盖过梁、圈梁、构造柱在实际工程中的应用，学会墙体识图。线上教学主要通过在超星学习通上安排学习任务的方式开展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提前准备案例教学问题；完成线上作业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楼地层构造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楼地层的基本构造层次；现浇钢筋混凝土楼板的结构形式。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预制装配式钢筋混凝土楼板构造；阳台的结构布置。</w:t>
            </w:r>
          </w:p>
          <w:p>
            <w:pPr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案例应涵盖楼地面构造做法，熟悉实际工程做法表。线上教学主要通过在超星学习通上安排学习任务的方式开展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提前准备案例教学问题；完成线上作业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楼梯设计和构造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平行双跑式楼梯设计；现浇钢筋混凝土楼梯结构形式。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平行双跑式楼梯绘图；预制装配式钢筋混凝土楼梯构造。</w:t>
            </w:r>
          </w:p>
          <w:p>
            <w:pPr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案例应涵盖平行双跑式楼梯在实际工程中的应用，学会楼梯识图。线上教学主要通过在超星学习通上安排学习任务的方式开展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提前准备案例教学问题；完成线上作业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屋顶构造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屋顶排水设计、卷材防水屋面构造和做法。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屋顶排水设计、坡屋顶构造。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思政元素：</w:t>
            </w:r>
            <w:r>
              <w:rPr>
                <w:sz w:val="21"/>
                <w:szCs w:val="21"/>
              </w:rPr>
              <w:t>介绍故宫太和殿屋顶，让学生感受古建筑之美和古建筑屋顶走兽的文化象征。课后作业通过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屋顶模型制作</w:t>
            </w:r>
            <w:r>
              <w:rPr>
                <w:sz w:val="21"/>
                <w:szCs w:val="21"/>
              </w:rPr>
              <w:t>，培养学生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实践动手能力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案例应涵盖平屋顶、坡屋顶等常见的排水、防水实际工程构造做法，学会屋顶平面图及节点详图识图。线上教学主要通过在超星学习通上安排学习任务的方式开展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rFonts w:hint="default"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提前准备案例教学问题；完成线上作业；完成一项屋顶模型制作。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077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门与窗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sz w:val="21"/>
                <w:szCs w:val="21"/>
              </w:rPr>
              <w:t>门的分类及特点；窗的分类及特点。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sz w:val="21"/>
                <w:szCs w:val="21"/>
              </w:rPr>
              <w:t>铝合金门窗、钢门窗、塑钢门窗的构造。</w:t>
            </w:r>
          </w:p>
          <w:p>
            <w:pPr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线上线下混合式教学。线下主要采用讲授法和案例法开展教学，辅以启发式提问激发学生主动思考。案例应涵盖实际工程中门窗表、门窗代号识读。线上教学主要通过在超星学习通上安排学习任务的方式开展。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提前准备案例教学问题；完成线上作业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目标3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077" w:type="dxa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工业化建筑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重点：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装配式建筑的主要部品部件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难点：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装配式建筑的主要部品部件</w:t>
            </w:r>
            <w:r>
              <w:rPr>
                <w:sz w:val="21"/>
                <w:szCs w:val="21"/>
              </w:rPr>
              <w:t>。</w:t>
            </w:r>
          </w:p>
          <w:p>
            <w:pPr>
              <w:snapToGrid w:val="0"/>
              <w:jc w:val="both"/>
              <w:rPr>
                <w:rFonts w:ascii="宋体" w:hAnsi="宋体" w:eastAsia="宋体" w:cs="宋体"/>
                <w:sz w:val="21"/>
                <w:szCs w:val="21"/>
                <w:lang w:val="en-US" w:eastAsia="zh-CN" w:bidi="ar-SA"/>
              </w:rPr>
            </w:pPr>
            <w:r>
              <w:rPr>
                <w:b/>
                <w:bCs/>
                <w:sz w:val="21"/>
                <w:szCs w:val="21"/>
              </w:rPr>
              <w:t>教学方法与策略：</w:t>
            </w:r>
            <w:r>
              <w:rPr>
                <w:sz w:val="21"/>
                <w:szCs w:val="21"/>
              </w:rPr>
              <w:t>线上线下混合式教学。线下主要采用讲授法和案例法开展教学，辅以启发式提问激发学生主动思考。线上教学主要通过在超星学习通上安排学习任务的方式开展。</w:t>
            </w:r>
          </w:p>
        </w:tc>
        <w:tc>
          <w:tcPr>
            <w:tcW w:w="1363" w:type="dxa"/>
            <w:vAlign w:val="center"/>
          </w:tcPr>
          <w:p>
            <w:pPr>
              <w:snapToGrid w:val="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b/>
                <w:bCs/>
                <w:sz w:val="21"/>
                <w:szCs w:val="21"/>
              </w:rPr>
              <w:t>课前：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完成线上预习任务。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课堂</w:t>
            </w:r>
            <w:r>
              <w:rPr>
                <w:sz w:val="21"/>
                <w:szCs w:val="21"/>
              </w:rPr>
              <w:t>：积极回答问题，做好听课笔记。</w:t>
            </w:r>
          </w:p>
          <w:p>
            <w:pPr>
              <w:snapToGrid w:val="0"/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sz w:val="21"/>
                <w:szCs w:val="21"/>
              </w:rPr>
              <w:t>课后：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完成线上作业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89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rFonts w:cs="宋体" w:asciiTheme="minorEastAsia" w:hAnsiTheme="minorEastAsia" w:eastAsiaTheme="minorEastAsia"/>
                <w:b/>
                <w:bCs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1"/>
                <w:szCs w:val="21"/>
              </w:rPr>
              <w:t>目标2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五、学生学习成效评估方式及标准</w:t>
      </w:r>
    </w:p>
    <w:p>
      <w:pPr>
        <w:spacing w:line="360" w:lineRule="auto"/>
        <w:ind w:firstLine="630" w:firstLineChars="300"/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考核与评价是对课程教学目标中的知识目标、能力目标和素质目标等进行综合评价。在本课程中，学生的最终成绩是由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平时成绩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期末考试2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个部分组成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before="120" w:beforeLines="50" w:after="120" w:afterLines="50" w:line="360" w:lineRule="auto"/>
        <w:ind w:firstLine="630" w:firstLineChars="300"/>
        <w:rPr>
          <w:rFonts w:hint="default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平时成绩（占总成绩的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 w:cs="Times New Roman"/>
          <w:sz w:val="21"/>
          <w:szCs w:val="21"/>
        </w:rPr>
        <w:t>采用百分制。平时成绩分</w:t>
      </w:r>
      <w:r>
        <w:rPr>
          <w:rFonts w:hint="eastAsia" w:cs="Times New Roman"/>
          <w:sz w:val="21"/>
          <w:szCs w:val="21"/>
          <w:lang w:val="en-US" w:eastAsia="zh-CN"/>
        </w:rPr>
        <w:t>线上</w:t>
      </w:r>
      <w:r>
        <w:rPr>
          <w:rFonts w:hint="eastAsia" w:cs="Times New Roman"/>
          <w:sz w:val="21"/>
          <w:szCs w:val="21"/>
        </w:rPr>
        <w:t>学习任务（占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cs="Times New Roman"/>
          <w:sz w:val="21"/>
          <w:szCs w:val="21"/>
        </w:rPr>
        <w:t>0%</w:t>
      </w:r>
      <w:r>
        <w:rPr>
          <w:rFonts w:hint="eastAsia" w:cs="Times New Roman"/>
          <w:sz w:val="21"/>
          <w:szCs w:val="21"/>
        </w:rPr>
        <w:t>）、考勤（占1</w:t>
      </w:r>
      <w:r>
        <w:rPr>
          <w:rFonts w:cs="Times New Roman"/>
          <w:sz w:val="21"/>
          <w:szCs w:val="21"/>
        </w:rPr>
        <w:t>0%</w:t>
      </w:r>
      <w:r>
        <w:rPr>
          <w:rFonts w:hint="eastAsia" w:cs="Times New Roman"/>
          <w:sz w:val="21"/>
          <w:szCs w:val="21"/>
        </w:rPr>
        <w:t>）、</w:t>
      </w:r>
      <w:r>
        <w:rPr>
          <w:rFonts w:hint="eastAsia" w:cs="Times New Roman"/>
          <w:sz w:val="21"/>
          <w:szCs w:val="21"/>
          <w:lang w:val="en-US" w:eastAsia="zh-CN"/>
        </w:rPr>
        <w:t>小组作业</w:t>
      </w:r>
      <w:r>
        <w:rPr>
          <w:rFonts w:hint="eastAsia" w:cs="Times New Roman"/>
          <w:sz w:val="21"/>
          <w:szCs w:val="21"/>
        </w:rPr>
        <w:t>（占1</w:t>
      </w:r>
      <w:r>
        <w:rPr>
          <w:rFonts w:cs="Times New Roman"/>
          <w:sz w:val="21"/>
          <w:szCs w:val="21"/>
        </w:rPr>
        <w:t>0%</w:t>
      </w:r>
      <w:r>
        <w:rPr>
          <w:rFonts w:hint="eastAsia" w:cs="Times New Roman"/>
          <w:sz w:val="21"/>
          <w:szCs w:val="21"/>
        </w:rPr>
        <w:t>）三个部分（</w:t>
      </w:r>
      <w:r>
        <w:rPr>
          <w:rFonts w:cs="Times New Roman"/>
          <w:sz w:val="21"/>
          <w:szCs w:val="21"/>
        </w:rPr>
        <w:t>平时成绩的具体构成可由授课教师自行安排</w:t>
      </w:r>
      <w:r>
        <w:rPr>
          <w:rFonts w:hint="eastAsia" w:cs="Times New Roman"/>
          <w:sz w:val="21"/>
          <w:szCs w:val="21"/>
        </w:rPr>
        <w:t>）。评分标准参考如下：</w:t>
      </w:r>
    </w:p>
    <w:tbl>
      <w:tblPr>
        <w:tblStyle w:val="4"/>
        <w:tblW w:w="0" w:type="auto"/>
        <w:tblInd w:w="1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64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71" w:type="dxa"/>
            <w:vMerge w:val="restart"/>
            <w:vAlign w:val="center"/>
          </w:tcPr>
          <w:p>
            <w:pPr>
              <w:ind w:firstLine="422" w:firstLineChars="200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分数</w:t>
            </w:r>
          </w:p>
        </w:tc>
        <w:tc>
          <w:tcPr>
            <w:tcW w:w="6479" w:type="dxa"/>
          </w:tcPr>
          <w:p>
            <w:pPr>
              <w:ind w:firstLine="2108" w:firstLineChars="1000"/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rFonts w:cs="Times New Roman"/>
                <w:b/>
                <w:sz w:val="21"/>
                <w:szCs w:val="21"/>
              </w:rPr>
              <w:t>评     分    标     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71" w:type="dxa"/>
            <w:vMerge w:val="continue"/>
          </w:tcPr>
          <w:p>
            <w:pPr>
              <w:jc w:val="both"/>
              <w:rPr>
                <w:rFonts w:cs="Times New Roman"/>
                <w:b/>
                <w:sz w:val="21"/>
                <w:szCs w:val="21"/>
              </w:rPr>
            </w:pPr>
          </w:p>
        </w:tc>
        <w:tc>
          <w:tcPr>
            <w:tcW w:w="6479" w:type="dxa"/>
          </w:tcPr>
          <w:p>
            <w:pPr>
              <w:jc w:val="both"/>
              <w:rPr>
                <w:rFonts w:cs="Times New Roman"/>
                <w:b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1.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线上</w:t>
            </w:r>
            <w:r>
              <w:rPr>
                <w:b/>
                <w:bCs/>
                <w:sz w:val="21"/>
                <w:szCs w:val="21"/>
              </w:rPr>
              <w:t>学习任务；2.考勤；3.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小组作业</w:t>
            </w:r>
            <w:r>
              <w:rPr>
                <w:b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471" w:type="dxa"/>
            <w:vAlign w:val="center"/>
          </w:tcPr>
          <w:p>
            <w:pPr>
              <w:spacing w:line="329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90～100分</w:t>
            </w:r>
          </w:p>
        </w:tc>
        <w:tc>
          <w:tcPr>
            <w:tcW w:w="6479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90％以上的线上学习任务完成。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2.旷课、迟到、早退、请假次数低于考勤次数的10%。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小组作业全部完成，完成质量高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471" w:type="dxa"/>
            <w:vAlign w:val="center"/>
          </w:tcPr>
          <w:p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80～89分</w:t>
            </w:r>
          </w:p>
        </w:tc>
        <w:tc>
          <w:tcPr>
            <w:tcW w:w="6479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80％以上的线上学习任务完成。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2.旷课、迟到、早退、请假次数达到考勤次数的10%-20%。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小组作业全部完成，完成质量较好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471" w:type="dxa"/>
            <w:vAlign w:val="center"/>
          </w:tcPr>
          <w:p>
            <w:pPr>
              <w:spacing w:line="386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70～79分</w:t>
            </w:r>
          </w:p>
        </w:tc>
        <w:tc>
          <w:tcPr>
            <w:tcW w:w="6479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70％以上的线上学习任务完成。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2.旷课、迟到、早退、请假次数达到考勤次数的20%-30%。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小组作业全部完成，完成质量一般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471" w:type="dxa"/>
            <w:vAlign w:val="center"/>
          </w:tcPr>
          <w:p>
            <w:pPr>
              <w:spacing w:line="376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60～69分</w:t>
            </w:r>
          </w:p>
        </w:tc>
        <w:tc>
          <w:tcPr>
            <w:tcW w:w="6479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 60％以上的学习任务完成。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2.旷课、迟到、早退、请假次数达到考勤次数的30%-40%。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小组作业基本完成，完成质量一般高</w:t>
            </w:r>
            <w:r>
              <w:rPr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471" w:type="dxa"/>
            <w:vAlign w:val="center"/>
          </w:tcPr>
          <w:p>
            <w:pPr>
              <w:spacing w:line="272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60以下</w:t>
            </w:r>
          </w:p>
        </w:tc>
        <w:tc>
          <w:tcPr>
            <w:tcW w:w="6479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1.超过40％的学习任务未完成。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2.旷课、迟到、早退、请假次数超过考勤次数的40%。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小组作业未全部完成，完成质量差高</w:t>
            </w:r>
            <w:r>
              <w:rPr>
                <w:sz w:val="21"/>
                <w:szCs w:val="21"/>
              </w:rPr>
              <w:t>。</w:t>
            </w:r>
          </w:p>
        </w:tc>
      </w:tr>
    </w:tbl>
    <w:p>
      <w:pPr>
        <w:spacing w:line="360" w:lineRule="auto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before="120" w:beforeLines="50"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2.期末考试（占总成绩的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%）：</w:t>
      </w:r>
      <w:r>
        <w:rPr>
          <w:rFonts w:hint="eastAsia"/>
          <w:sz w:val="21"/>
          <w:szCs w:val="21"/>
        </w:rPr>
        <w:t>采用百分制。期末考试的考核内容、题型和分值分配情况请见下表：</w:t>
      </w:r>
    </w:p>
    <w:tbl>
      <w:tblPr>
        <w:tblStyle w:val="3"/>
        <w:tblW w:w="88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4308"/>
        <w:gridCol w:w="1623"/>
        <w:gridCol w:w="798"/>
        <w:gridCol w:w="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模块</w:t>
            </w:r>
          </w:p>
        </w:tc>
        <w:tc>
          <w:tcPr>
            <w:tcW w:w="4308" w:type="dxa"/>
            <w:vAlign w:val="center"/>
          </w:tcPr>
          <w:p>
            <w:pPr>
              <w:snapToGrid w:val="0"/>
              <w:ind w:left="18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考核内容</w:t>
            </w:r>
          </w:p>
        </w:tc>
        <w:tc>
          <w:tcPr>
            <w:tcW w:w="1623" w:type="dxa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建议分值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民用建筑设计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概述</w:t>
            </w:r>
          </w:p>
        </w:tc>
        <w:tc>
          <w:tcPr>
            <w:tcW w:w="430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建筑的分类和分级。</w:t>
            </w:r>
          </w:p>
        </w:tc>
        <w:tc>
          <w:tcPr>
            <w:tcW w:w="162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选择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判断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填空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名词解释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简答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识图</w:t>
            </w:r>
          </w:p>
          <w:p>
            <w:pPr>
              <w:snapToGrid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设计</w:t>
            </w:r>
          </w:p>
          <w:p>
            <w:pPr>
              <w:snapToGrid w:val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论述等</w:t>
            </w:r>
          </w:p>
        </w:tc>
        <w:tc>
          <w:tcPr>
            <w:tcW w:w="798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  <w:p>
            <w:pPr>
              <w:bidi w:val="0"/>
              <w:rPr>
                <w:rFonts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目标1</w:t>
            </w:r>
          </w:p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目标2</w:t>
            </w:r>
          </w:p>
          <w:p>
            <w:pPr>
              <w:bidi w:val="0"/>
              <w:jc w:val="left"/>
              <w:rPr>
                <w:lang w:val="en-US" w:eastAsia="zh-CN"/>
              </w:rPr>
            </w:pPr>
            <w:r>
              <w:rPr>
                <w:sz w:val="21"/>
                <w:szCs w:val="21"/>
              </w:rPr>
              <w:t>目标3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建筑平立剖设计</w:t>
            </w:r>
          </w:p>
        </w:tc>
        <w:tc>
          <w:tcPr>
            <w:tcW w:w="430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主要使用房间的平面设计。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房屋各部分高度确定。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建筑平面组合设计；建筑空间组合与利用；建筑体型组合。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基础和地下室构造</w:t>
            </w:r>
          </w:p>
        </w:tc>
        <w:tc>
          <w:tcPr>
            <w:tcW w:w="430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基础类型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地下室防水构造要点。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基础埋置深度的影响因素。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墙体构造</w:t>
            </w:r>
          </w:p>
        </w:tc>
        <w:tc>
          <w:tcPr>
            <w:tcW w:w="4308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墙体的分类、墙体的材料、组砌方式及要求；墙体设计要求。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墙体细部构造。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墙体抗震构造。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隔墙构造；幕墙构造。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楼地层构造</w:t>
            </w:r>
          </w:p>
        </w:tc>
        <w:tc>
          <w:tcPr>
            <w:tcW w:w="4308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楼地层基本构造层次</w:t>
            </w:r>
            <w:r>
              <w:rPr>
                <w:sz w:val="21"/>
                <w:szCs w:val="21"/>
              </w:rPr>
              <w:t>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钢筋混凝土楼板施工方式；现浇钢筋混凝土楼板的结构形式。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adjustRightInd w:val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预制装配式钢筋混凝土楼板构造；阳台结构布置等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楼梯设计与构造</w:t>
            </w:r>
          </w:p>
        </w:tc>
        <w:tc>
          <w:tcPr>
            <w:tcW w:w="430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平行双跑楼梯设计；现浇钢筋混凝土楼梯结构形式等。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89" w:type="dxa"/>
            <w:vMerge w:val="restart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屋顶构造</w:t>
            </w:r>
          </w:p>
        </w:tc>
        <w:tc>
          <w:tcPr>
            <w:tcW w:w="430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屋顶排水设计。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489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30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卷材防水构造和做法。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门和窗</w:t>
            </w:r>
          </w:p>
        </w:tc>
        <w:tc>
          <w:tcPr>
            <w:tcW w:w="4308" w:type="dxa"/>
            <w:vAlign w:val="center"/>
          </w:tcPr>
          <w:p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门的分类及特点；窗的分类及特点。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89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化</w:t>
            </w:r>
            <w:r>
              <w:rPr>
                <w:sz w:val="21"/>
                <w:szCs w:val="21"/>
              </w:rPr>
              <w:t>建筑</w:t>
            </w:r>
          </w:p>
        </w:tc>
        <w:tc>
          <w:tcPr>
            <w:tcW w:w="4308" w:type="dxa"/>
            <w:vAlign w:val="center"/>
          </w:tcPr>
          <w:p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装配式建筑构造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623" w:type="dxa"/>
            <w:vMerge w:val="continue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目标1</w:t>
            </w: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目标2</w:t>
            </w:r>
          </w:p>
        </w:tc>
        <w:tc>
          <w:tcPr>
            <w:tcW w:w="678" w:type="dxa"/>
            <w:vAlign w:val="center"/>
          </w:tcPr>
          <w:p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</w:tbl>
    <w:p>
      <w:pP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855" w:tblpY="683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654"/>
        <w:gridCol w:w="60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27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>
            <w:pPr>
              <w:ind w:firstLine="422" w:firstLineChars="200"/>
              <w:jc w:val="center"/>
              <w:rPr>
                <w:rFonts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 w:eastAsia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    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firstLine="210" w:firstLineChars="100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职称：助教及以上          学历（位）：硕士及以上</w:t>
            </w:r>
          </w:p>
          <w:p>
            <w:pPr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1"/>
                <w:szCs w:val="21"/>
              </w:rPr>
              <w:t>其他：无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■教室             □实验室         □室外场地  </w:t>
            </w:r>
          </w:p>
          <w:p>
            <w:pPr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Times New Roman"/>
                <w:sz w:val="21"/>
                <w:szCs w:val="21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181"/>
              <w:jc w:val="center"/>
              <w:textAlignment w:val="auto"/>
              <w:rPr>
                <w:rFonts w:hint="eastAsia" w:eastAsia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>
            <w:pPr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线上方式及时间安排：通过企业微信建立班级课程学习群，学生可在群内留言提问。</w:t>
            </w:r>
          </w:p>
          <w:p>
            <w:pPr>
              <w:jc w:val="both"/>
              <w:rPr>
                <w:rFonts w:cs="Times New Roman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z w:val="21"/>
                <w:szCs w:val="21"/>
              </w:rPr>
              <w:t>线下地点及时间安排：授课教师自行安排。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教学安排及要求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00" w:lineRule="exact"/>
        <w:textAlignment w:val="auto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422" w:firstLineChars="150"/>
        <w:rPr>
          <w:rFonts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七、选用教材</w:t>
      </w:r>
    </w:p>
    <w:p>
      <w:pPr>
        <w:spacing w:before="120" w:beforeLines="50"/>
        <w:ind w:firstLine="420" w:firstLineChars="20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[1]李必瑜、王雪松.房屋建筑学（第</w:t>
      </w:r>
      <w:r>
        <w:rPr>
          <w:rFonts w:cs="Times New Roman"/>
          <w:sz w:val="21"/>
          <w:szCs w:val="21"/>
        </w:rPr>
        <w:t>6</w:t>
      </w:r>
      <w:r>
        <w:rPr>
          <w:rFonts w:hint="eastAsia" w:cs="Times New Roman"/>
          <w:sz w:val="21"/>
          <w:szCs w:val="21"/>
        </w:rPr>
        <w:t>版）[</w:t>
      </w:r>
      <w:r>
        <w:rPr>
          <w:rFonts w:cs="Times New Roman"/>
          <w:sz w:val="21"/>
          <w:szCs w:val="21"/>
        </w:rPr>
        <w:t>M].武汉：武汉</w:t>
      </w:r>
      <w:r>
        <w:rPr>
          <w:rFonts w:hint="eastAsia" w:cs="Times New Roman"/>
          <w:sz w:val="21"/>
          <w:szCs w:val="21"/>
        </w:rPr>
        <w:t>理工</w:t>
      </w:r>
      <w:r>
        <w:rPr>
          <w:rFonts w:cs="Times New Roman"/>
          <w:sz w:val="21"/>
          <w:szCs w:val="21"/>
        </w:rPr>
        <w:t>大学出版社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2021年</w:t>
      </w:r>
      <w:r>
        <w:rPr>
          <w:rFonts w:hint="eastAsia" w:cs="Times New Roman"/>
          <w:sz w:val="21"/>
          <w:szCs w:val="21"/>
        </w:rPr>
        <w:t>1月.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[2]</w:t>
      </w:r>
      <w:r>
        <w:rPr>
          <w:rFonts w:hint="eastAsia" w:cs="Times New Roman"/>
          <w:sz w:val="21"/>
          <w:szCs w:val="21"/>
          <w:lang w:val="en-US" w:eastAsia="zh-CN"/>
        </w:rPr>
        <w:t>董海荣</w:t>
      </w:r>
      <w:r>
        <w:rPr>
          <w:rFonts w:hint="eastAsia" w:cs="Times New Roman"/>
          <w:sz w:val="21"/>
          <w:szCs w:val="21"/>
        </w:rPr>
        <w:t>.房屋建筑学（第2版）[</w:t>
      </w:r>
      <w:r>
        <w:rPr>
          <w:rFonts w:cs="Times New Roman"/>
          <w:sz w:val="21"/>
          <w:szCs w:val="21"/>
        </w:rPr>
        <w:t>M].</w:t>
      </w:r>
      <w:r>
        <w:rPr>
          <w:rFonts w:hint="eastAsia" w:cs="Times New Roman"/>
          <w:sz w:val="21"/>
          <w:szCs w:val="21"/>
          <w:lang w:val="en-US" w:eastAsia="zh-CN"/>
        </w:rPr>
        <w:t>北京</w:t>
      </w:r>
      <w:r>
        <w:rPr>
          <w:rFonts w:cs="Times New Roman"/>
          <w:sz w:val="21"/>
          <w:szCs w:val="21"/>
        </w:rPr>
        <w:t>：</w:t>
      </w:r>
      <w:r>
        <w:rPr>
          <w:rFonts w:hint="eastAsia" w:cs="Times New Roman"/>
          <w:sz w:val="21"/>
          <w:szCs w:val="21"/>
          <w:lang w:val="en-US" w:eastAsia="zh-CN"/>
        </w:rPr>
        <w:t>中国建筑工业</w:t>
      </w:r>
      <w:r>
        <w:rPr>
          <w:rFonts w:cs="Times New Roman"/>
          <w:sz w:val="21"/>
          <w:szCs w:val="21"/>
        </w:rPr>
        <w:t>出版社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202</w:t>
      </w:r>
      <w:r>
        <w:rPr>
          <w:rFonts w:hint="eastAsia" w:cs="Times New Roman"/>
          <w:sz w:val="21"/>
          <w:szCs w:val="21"/>
          <w:lang w:val="en-US" w:eastAsia="zh-CN"/>
        </w:rPr>
        <w:t>2</w:t>
      </w:r>
      <w:r>
        <w:rPr>
          <w:rFonts w:cs="Times New Roman"/>
          <w:sz w:val="21"/>
          <w:szCs w:val="21"/>
        </w:rPr>
        <w:t>年</w:t>
      </w:r>
      <w:r>
        <w:rPr>
          <w:rFonts w:hint="eastAsia" w:cs="Times New Roman"/>
          <w:sz w:val="21"/>
          <w:szCs w:val="21"/>
          <w:lang w:val="en-US" w:eastAsia="zh-CN"/>
        </w:rPr>
        <w:t>9</w:t>
      </w:r>
      <w:r>
        <w:rPr>
          <w:rFonts w:hint="eastAsia" w:cs="Times New Roman"/>
          <w:sz w:val="21"/>
          <w:szCs w:val="21"/>
        </w:rPr>
        <w:t>月.</w:t>
      </w:r>
    </w:p>
    <w:p>
      <w:pPr>
        <w:ind w:firstLine="422" w:firstLineChars="150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八、参考资料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[1]</w:t>
      </w:r>
      <w:r>
        <w:rPr>
          <w:rFonts w:cs="Times New Roman"/>
          <w:sz w:val="21"/>
          <w:szCs w:val="21"/>
        </w:rPr>
        <w:t>房屋建筑制图统一标准GB50001-2017[S]</w:t>
      </w:r>
      <w:r>
        <w:rPr>
          <w:rFonts w:hint="eastAsia" w:cs="Times New Roman"/>
          <w:sz w:val="21"/>
          <w:szCs w:val="21"/>
        </w:rPr>
        <w:t>.北京:</w:t>
      </w:r>
      <w:r>
        <w:rPr>
          <w:rFonts w:cs="Times New Roman"/>
          <w:sz w:val="21"/>
          <w:szCs w:val="21"/>
        </w:rPr>
        <w:t>中华人民共和国住建部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2017年</w:t>
      </w:r>
      <w:r>
        <w:rPr>
          <w:rFonts w:hint="eastAsia" w:cs="Times New Roman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[2]建筑模数协调标准GB／T50002-2013[S]</w:t>
      </w:r>
      <w:r>
        <w:rPr>
          <w:rFonts w:hint="eastAsia" w:cs="Times New Roman"/>
          <w:sz w:val="21"/>
          <w:szCs w:val="21"/>
        </w:rPr>
        <w:t>.北京:</w:t>
      </w:r>
      <w:r>
        <w:rPr>
          <w:rFonts w:cs="Times New Roman"/>
          <w:sz w:val="21"/>
          <w:szCs w:val="21"/>
        </w:rPr>
        <w:t>中华人民共和国住建部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2013年</w:t>
      </w:r>
      <w:r>
        <w:rPr>
          <w:rFonts w:hint="eastAsia" w:cs="Times New Roman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[3]建筑制图标准GB50104-2010[S]</w:t>
      </w:r>
      <w:r>
        <w:rPr>
          <w:rFonts w:hint="eastAsia" w:cs="Times New Roman"/>
          <w:sz w:val="21"/>
          <w:szCs w:val="21"/>
        </w:rPr>
        <w:t>.北京:</w:t>
      </w:r>
      <w:r>
        <w:rPr>
          <w:rFonts w:cs="Times New Roman"/>
          <w:sz w:val="21"/>
          <w:szCs w:val="21"/>
        </w:rPr>
        <w:t>中华人民共和国住建部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2010年</w:t>
      </w:r>
      <w:r>
        <w:rPr>
          <w:rFonts w:hint="eastAsia" w:cs="Times New Roman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[4]民用建筑设计统一标准GB50325-2019[S]</w:t>
      </w:r>
      <w:r>
        <w:rPr>
          <w:rFonts w:hint="eastAsia" w:cs="Times New Roman"/>
          <w:sz w:val="21"/>
          <w:szCs w:val="21"/>
        </w:rPr>
        <w:t>.北京:</w:t>
      </w:r>
      <w:r>
        <w:rPr>
          <w:rFonts w:cs="Times New Roman"/>
          <w:sz w:val="21"/>
          <w:szCs w:val="21"/>
        </w:rPr>
        <w:t>中华人民共和国住建部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2019年</w:t>
      </w:r>
      <w:r>
        <w:rPr>
          <w:rFonts w:hint="eastAsia" w:cs="Times New Roman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[5]民用建筑设计术语标准GB50504-2009[S]</w:t>
      </w:r>
      <w:r>
        <w:rPr>
          <w:rFonts w:hint="eastAsia" w:cs="Times New Roman"/>
          <w:sz w:val="21"/>
          <w:szCs w:val="21"/>
        </w:rPr>
        <w:t>.北京:</w:t>
      </w:r>
      <w:r>
        <w:rPr>
          <w:rFonts w:cs="Times New Roman"/>
          <w:sz w:val="21"/>
          <w:szCs w:val="21"/>
        </w:rPr>
        <w:t>中华人民共和国住建部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2009年</w:t>
      </w:r>
      <w:r>
        <w:rPr>
          <w:rFonts w:hint="eastAsia" w:cs="Times New Roman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[6]建筑设计防火规范GB50016-2014[S]（2018年版）</w:t>
      </w:r>
      <w:r>
        <w:rPr>
          <w:rFonts w:hint="eastAsia" w:cs="Times New Roman"/>
          <w:sz w:val="21"/>
          <w:szCs w:val="21"/>
        </w:rPr>
        <w:t>.北京:</w:t>
      </w:r>
      <w:r>
        <w:rPr>
          <w:rFonts w:cs="Times New Roman"/>
          <w:sz w:val="21"/>
          <w:szCs w:val="21"/>
        </w:rPr>
        <w:t>中华人民共和国住建部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2018年修订</w:t>
      </w:r>
      <w:r>
        <w:rPr>
          <w:rFonts w:hint="eastAsia" w:cs="Times New Roman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[7]住宅设计规范GB50096-2011[S]</w:t>
      </w:r>
      <w:r>
        <w:rPr>
          <w:rFonts w:hint="eastAsia" w:cs="Times New Roman"/>
          <w:sz w:val="21"/>
          <w:szCs w:val="21"/>
        </w:rPr>
        <w:t>.北京:</w:t>
      </w:r>
      <w:r>
        <w:rPr>
          <w:rFonts w:cs="Times New Roman"/>
          <w:sz w:val="21"/>
          <w:szCs w:val="21"/>
        </w:rPr>
        <w:t>中华人民共和国住建部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2011年</w:t>
      </w:r>
      <w:r>
        <w:rPr>
          <w:rFonts w:hint="eastAsia" w:cs="Times New Roman"/>
          <w:sz w:val="21"/>
          <w:szCs w:val="21"/>
        </w:rPr>
        <w:t>.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[8]中小学校设计规范GB50099-2011[S]</w:t>
      </w:r>
      <w:r>
        <w:rPr>
          <w:rFonts w:hint="eastAsia" w:cs="Times New Roman"/>
          <w:sz w:val="21"/>
          <w:szCs w:val="21"/>
        </w:rPr>
        <w:t>.北京:</w:t>
      </w:r>
      <w:r>
        <w:rPr>
          <w:rFonts w:cs="Times New Roman"/>
          <w:sz w:val="21"/>
          <w:szCs w:val="21"/>
        </w:rPr>
        <w:t>中华人民共和国住建部</w:t>
      </w:r>
      <w:r>
        <w:rPr>
          <w:rFonts w:hint="eastAsia" w:cs="Times New Roman"/>
          <w:sz w:val="21"/>
          <w:szCs w:val="21"/>
        </w:rPr>
        <w:t>,</w:t>
      </w:r>
      <w:r>
        <w:rPr>
          <w:rFonts w:cs="Times New Roman"/>
          <w:sz w:val="21"/>
          <w:szCs w:val="21"/>
        </w:rPr>
        <w:t>2010年</w:t>
      </w:r>
      <w:r>
        <w:rPr>
          <w:rFonts w:hint="eastAsia" w:cs="Times New Roman"/>
          <w:sz w:val="21"/>
          <w:szCs w:val="21"/>
        </w:rPr>
        <w:t>.</w:t>
      </w:r>
    </w:p>
    <w:p>
      <w:pPr>
        <w:spacing w:line="360" w:lineRule="auto"/>
        <w:ind w:firstLine="422" w:firstLineChars="150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网络资料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[</w:t>
      </w:r>
      <w:r>
        <w:rPr>
          <w:rFonts w:cs="Times New Roman"/>
          <w:sz w:val="21"/>
          <w:szCs w:val="21"/>
        </w:rPr>
        <w:t>1</w:t>
      </w:r>
      <w:r>
        <w:rPr>
          <w:rFonts w:hint="eastAsia" w:cs="Times New Roman"/>
          <w:sz w:val="21"/>
          <w:szCs w:val="21"/>
        </w:rPr>
        <w:t>]</w:t>
      </w:r>
      <w:r>
        <w:rPr>
          <w:rFonts w:cs="Times New Roman"/>
          <w:sz w:val="21"/>
          <w:szCs w:val="21"/>
        </w:rPr>
        <w:t>建筑云课《房屋建筑构造》：http://ai.glodonedu.com/front/index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[2]爱课程</w:t>
      </w:r>
      <w:r>
        <w:rPr>
          <w:rFonts w:hint="eastAsia" w:cs="Times New Roman"/>
          <w:sz w:val="21"/>
          <w:szCs w:val="21"/>
        </w:rPr>
        <w:t>-</w:t>
      </w:r>
      <w:r>
        <w:rPr>
          <w:rFonts w:cs="Times New Roman"/>
          <w:sz w:val="21"/>
          <w:szCs w:val="21"/>
        </w:rPr>
        <w:t>-房屋建筑学：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https://www.icourse163.org/course/CQU-1205890803?from=searchPage</w:t>
      </w:r>
    </w:p>
    <w:p>
      <w:pPr>
        <w:spacing w:line="360" w:lineRule="auto"/>
        <w:ind w:left="440" w:leftChars="20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[3]</w:t>
      </w:r>
      <w:r>
        <w:rPr>
          <w:rFonts w:hint="eastAsia"/>
        </w:rPr>
        <w:t>智慧树-</w:t>
      </w:r>
      <w:r>
        <w:t>-</w:t>
      </w:r>
      <w:r>
        <w:rPr>
          <w:rFonts w:hint="eastAsia" w:cs="Times New Roman"/>
          <w:sz w:val="21"/>
          <w:szCs w:val="21"/>
        </w:rPr>
        <w:t>身边的房屋建筑学：</w:t>
      </w:r>
      <w:r>
        <w:rPr>
          <w:rFonts w:cs="Times New Roman"/>
          <w:sz w:val="21"/>
          <w:szCs w:val="21"/>
        </w:rPr>
        <w:t>https://coursehome.zhihuishu.com/courseHome/1000008280#teachTeam</w:t>
      </w:r>
    </w:p>
    <w:p>
      <w:pPr>
        <w:spacing w:line="360" w:lineRule="auto"/>
        <w:ind w:left="440" w:leftChars="200"/>
      </w:pPr>
      <w:r>
        <w:rPr>
          <w:rFonts w:cs="Times New Roman"/>
          <w:sz w:val="21"/>
          <w:szCs w:val="21"/>
        </w:rPr>
        <w:t>[4]</w:t>
      </w:r>
      <w:r>
        <w:rPr>
          <w:rFonts w:hint="eastAsia"/>
        </w:rPr>
        <w:t>智慧树</w:t>
      </w:r>
      <w:r>
        <w:t>—房屋建筑学（山东联盟）：https://coursehome.zhihuishu.com/courseHome/1000007182#teachTeam</w:t>
      </w:r>
    </w:p>
    <w:p>
      <w:pPr>
        <w:spacing w:line="360" w:lineRule="auto"/>
        <w:ind w:firstLine="422" w:firstLineChars="150"/>
        <w:rPr>
          <w:rFonts w:cs="Times New Roman"/>
          <w:b/>
          <w:sz w:val="28"/>
          <w:szCs w:val="28"/>
        </w:rPr>
      </w:pPr>
      <w:r>
        <w:rPr>
          <w:rFonts w:hint="eastAsia" w:cs="Times New Roman"/>
          <w:b/>
          <w:sz w:val="28"/>
          <w:szCs w:val="28"/>
        </w:rPr>
        <w:t>其他资料</w:t>
      </w:r>
    </w:p>
    <w:p>
      <w:pPr>
        <w:spacing w:line="360" w:lineRule="auto"/>
        <w:ind w:firstLine="420" w:firstLineChars="200"/>
        <w:rPr>
          <w:rFonts w:cs="Times New Roman"/>
          <w:sz w:val="21"/>
          <w:szCs w:val="21"/>
        </w:rPr>
      </w:pPr>
      <w:r>
        <w:rPr>
          <w:rFonts w:hint="eastAsia" w:cs="Times New Roman"/>
          <w:sz w:val="21"/>
          <w:szCs w:val="21"/>
        </w:rPr>
        <w:t>授课教师提供的多媒体课件、实际工程图纸、超星端学习资料等。</w:t>
      </w:r>
    </w:p>
    <w:p>
      <w:pPr>
        <w:spacing w:line="360" w:lineRule="auto"/>
        <w:ind w:firstLine="420" w:firstLineChars="200"/>
        <w:rPr>
          <w:rFonts w:cs="Times New Roman" w:asciiTheme="minorEastAsia" w:hAnsiTheme="minorEastAsia" w:eastAsia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大纲执笔人： 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张进</w:t>
      </w:r>
    </w:p>
    <w:p>
      <w:pPr>
        <w:spacing w:line="360" w:lineRule="auto"/>
        <w:ind w:firstLine="5775" w:firstLineChars="2750"/>
        <w:rPr>
          <w:rFonts w:hint="default" w:eastAsia="宋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讨论参与人: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张玉平</w:t>
      </w:r>
      <w:bookmarkStart w:id="0" w:name="_GoBack"/>
      <w:bookmarkEnd w:id="0"/>
    </w:p>
    <w:p>
      <w:pPr>
        <w:spacing w:line="360" w:lineRule="auto"/>
        <w:ind w:firstLine="5775" w:firstLineChars="2750"/>
        <w:rPr>
          <w:rFonts w:hint="eastAsia" w:eastAsia="宋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系（教研室）主任：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张进</w:t>
      </w:r>
    </w:p>
    <w:p>
      <w:pPr>
        <w:spacing w:line="360" w:lineRule="auto"/>
        <w:ind w:firstLine="5775" w:firstLineChars="2750"/>
        <w:rPr>
          <w:rFonts w:hint="eastAsia" w:eastAsia="宋体"/>
          <w:lang w:val="en-US" w:eastAsia="zh-CN"/>
        </w:rPr>
      </w:pPr>
      <w:r>
        <w:rPr>
          <w:rFonts w:hint="eastAsia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学院（部）审核人：</w:t>
      </w:r>
      <w:r>
        <w:rPr>
          <w:rFonts w:hint="eastAsia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肖红飞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jY1OTRlYWRhZGExNmYyMzkyYjliYmYzNjI5MmIifQ=="/>
  </w:docVars>
  <w:rsids>
    <w:rsidRoot w:val="075D5BEF"/>
    <w:rsid w:val="06AE0A2A"/>
    <w:rsid w:val="075D5BEF"/>
    <w:rsid w:val="07EB53C4"/>
    <w:rsid w:val="0D9A0A83"/>
    <w:rsid w:val="1B781C36"/>
    <w:rsid w:val="24471320"/>
    <w:rsid w:val="2F200747"/>
    <w:rsid w:val="300C6CDD"/>
    <w:rsid w:val="456F1632"/>
    <w:rsid w:val="491B762B"/>
    <w:rsid w:val="59D72BEB"/>
    <w:rsid w:val="5CAA5805"/>
    <w:rsid w:val="67FF307E"/>
    <w:rsid w:val="689C384C"/>
    <w:rsid w:val="6FA12AFE"/>
    <w:rsid w:val="72850FCC"/>
    <w:rsid w:val="75023B78"/>
    <w:rsid w:val="7BF7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4469</Words>
  <Characters>4996</Characters>
  <Lines>0</Lines>
  <Paragraphs>0</Paragraphs>
  <TotalTime>23</TotalTime>
  <ScaleCrop>false</ScaleCrop>
  <LinksUpToDate>false</LinksUpToDate>
  <CharactersWithSpaces>5059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2021-11-15T03:48:00Z</dcterms:created>
  <dc:creator>guanhy</dc:creator>
  <cp:lastModifiedBy>jxyang</cp:lastModifiedBy>
  <dcterms:modified xsi:type="dcterms:W3CDTF">2023-08-29T08:43:04Z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B4017474EF0C4E598AA08FEAC6813276</vt:lpwstr>
  </property>
</Properties>
</file>